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D5A86" w14:textId="16564EE4" w:rsidR="00A304F2" w:rsidRPr="00F6570B" w:rsidRDefault="00A304F2" w:rsidP="003E6FBB">
      <w:pPr>
        <w:widowControl w:val="0"/>
        <w:autoSpaceDE w:val="0"/>
        <w:autoSpaceDN w:val="0"/>
        <w:adjustRightInd w:val="0"/>
        <w:spacing w:after="0" w:line="240" w:lineRule="auto"/>
        <w:ind w:right="30"/>
        <w:jc w:val="center"/>
        <w:rPr>
          <w:rFonts w:ascii="Arial" w:hAnsi="Arial" w:cs="Arial"/>
          <w:b/>
        </w:rPr>
      </w:pPr>
      <w:r w:rsidRPr="00F6570B">
        <w:rPr>
          <w:rFonts w:ascii="Arial" w:hAnsi="Arial" w:cs="Arial"/>
          <w:b/>
        </w:rPr>
        <w:t>Sample Letter of Medical Necessity</w:t>
      </w:r>
      <w:r w:rsidR="003A3662" w:rsidRPr="00F6570B">
        <w:rPr>
          <w:rFonts w:ascii="Arial" w:hAnsi="Arial" w:cs="Arial"/>
          <w:b/>
        </w:rPr>
        <w:t>*</w:t>
      </w:r>
    </w:p>
    <w:p w14:paraId="42B5BD84" w14:textId="143C6F88" w:rsidR="00D868F1" w:rsidRPr="00F6570B" w:rsidRDefault="00D868F1" w:rsidP="00D31702">
      <w:pPr>
        <w:autoSpaceDE w:val="0"/>
        <w:autoSpaceDN w:val="0"/>
        <w:rPr>
          <w:rFonts w:ascii="Arial" w:hAnsi="Arial" w:cs="Arial"/>
        </w:rPr>
      </w:pPr>
      <w:r w:rsidRPr="00F6570B">
        <w:rPr>
          <w:rFonts w:ascii="Arial" w:hAnsi="Arial" w:cs="Arial"/>
        </w:rPr>
        <w:t>(*</w:t>
      </w:r>
      <w:r w:rsidR="00FB40F1" w:rsidRPr="00F6570B">
        <w:rPr>
          <w:rFonts w:ascii="Arial" w:hAnsi="Arial" w:cs="Arial"/>
        </w:rPr>
        <w:t xml:space="preserve">This template is intended only as an example. It should be customized with patient-specific details and any other information deemed necessary, then printed on your letterhead </w:t>
      </w:r>
      <w:r w:rsidR="006A3B2A" w:rsidRPr="00F6570B">
        <w:rPr>
          <w:rFonts w:ascii="Arial" w:hAnsi="Arial" w:cs="Arial"/>
        </w:rPr>
        <w:t>before</w:t>
      </w:r>
      <w:r w:rsidR="00FB40F1" w:rsidRPr="00F6570B">
        <w:rPr>
          <w:rFonts w:ascii="Arial" w:hAnsi="Arial" w:cs="Arial"/>
        </w:rPr>
        <w:t xml:space="preserve"> submission to the payer.)</w:t>
      </w:r>
    </w:p>
    <w:p w14:paraId="2CE0343A" w14:textId="77777777" w:rsidR="009A7D6E" w:rsidRPr="00F6570B" w:rsidRDefault="00A304F2" w:rsidP="00D868F1">
      <w:pPr>
        <w:pStyle w:val="BOLDTEXT"/>
        <w:spacing w:before="60"/>
        <w:rPr>
          <w:b w:val="0"/>
          <w:bCs w:val="0"/>
          <w:color w:val="auto"/>
          <w:sz w:val="22"/>
          <w:szCs w:val="22"/>
        </w:rPr>
      </w:pPr>
      <w:r w:rsidRPr="00F6570B">
        <w:rPr>
          <w:b w:val="0"/>
          <w:bCs w:val="0"/>
          <w:color w:val="auto"/>
          <w:sz w:val="22"/>
          <w:szCs w:val="22"/>
        </w:rPr>
        <w:t>[Insert physician letterhead]</w:t>
      </w:r>
      <w:r w:rsidR="006129DC" w:rsidRPr="00F6570B">
        <w:rPr>
          <w:b w:val="0"/>
          <w:bCs w:val="0"/>
          <w:noProof/>
          <w:color w:val="auto"/>
          <w:sz w:val="22"/>
          <w:szCs w:val="22"/>
        </w:rPr>
        <w:t xml:space="preserve"> </w:t>
      </w:r>
    </w:p>
    <w:p w14:paraId="304053F0" w14:textId="77777777" w:rsidR="009A7D6E" w:rsidRPr="00F6570B" w:rsidRDefault="009A7D6E" w:rsidP="003E6FBB">
      <w:pPr>
        <w:pStyle w:val="TEXT"/>
        <w:tabs>
          <w:tab w:val="left" w:pos="5310"/>
          <w:tab w:val="left" w:pos="5760"/>
          <w:tab w:val="right" w:pos="9605"/>
        </w:tabs>
        <w:spacing w:before="60"/>
        <w:rPr>
          <w:sz w:val="22"/>
          <w:szCs w:val="22"/>
        </w:rPr>
      </w:pPr>
    </w:p>
    <w:p w14:paraId="33C1F6CE" w14:textId="77777777" w:rsidR="0060356F" w:rsidRPr="00F6570B" w:rsidRDefault="0060356F" w:rsidP="003E6FBB">
      <w:pPr>
        <w:pStyle w:val="TEXT"/>
        <w:tabs>
          <w:tab w:val="left" w:pos="5310"/>
          <w:tab w:val="left" w:pos="5760"/>
          <w:tab w:val="right" w:pos="9605"/>
        </w:tabs>
        <w:spacing w:before="60"/>
        <w:rPr>
          <w:b/>
          <w:bCs/>
          <w:sz w:val="22"/>
          <w:szCs w:val="22"/>
        </w:rPr>
        <w:sectPr w:rsidR="0060356F" w:rsidRPr="00F6570B" w:rsidSect="00885038">
          <w:footerReference w:type="default" r:id="rId10"/>
          <w:type w:val="continuous"/>
          <w:pgSz w:w="12240" w:h="15840"/>
          <w:pgMar w:top="1008" w:right="1008" w:bottom="720" w:left="1080" w:header="475" w:footer="475" w:gutter="0"/>
          <w:cols w:space="720"/>
          <w:noEndnote/>
          <w:docGrid w:linePitch="299"/>
        </w:sectPr>
      </w:pPr>
    </w:p>
    <w:p w14:paraId="169D50AC" w14:textId="08A14A98" w:rsidR="0028307E" w:rsidRPr="00F6570B" w:rsidRDefault="0028307E" w:rsidP="0002164A">
      <w:pPr>
        <w:pStyle w:val="NoSpacing"/>
        <w:rPr>
          <w:rFonts w:ascii="Arial" w:hAnsi="Arial" w:cs="Arial"/>
        </w:rPr>
      </w:pPr>
      <w:r w:rsidRPr="00F6570B">
        <w:rPr>
          <w:rFonts w:ascii="Arial" w:hAnsi="Arial" w:cs="Arial"/>
        </w:rPr>
        <w:t>[</w:t>
      </w:r>
      <w:r w:rsidR="00B14569" w:rsidRPr="00F6570B">
        <w:rPr>
          <w:rFonts w:ascii="Arial" w:hAnsi="Arial" w:cs="Arial"/>
        </w:rPr>
        <w:t xml:space="preserve">Insert </w:t>
      </w:r>
      <w:r w:rsidRPr="00F6570B">
        <w:rPr>
          <w:rFonts w:ascii="Arial" w:hAnsi="Arial" w:cs="Arial"/>
        </w:rPr>
        <w:t>Date]</w:t>
      </w:r>
    </w:p>
    <w:p w14:paraId="48FFBD15" w14:textId="6DCDD250" w:rsidR="00A304F2" w:rsidRPr="00F6570B" w:rsidRDefault="009A7D6E" w:rsidP="0002164A">
      <w:pPr>
        <w:pStyle w:val="NoSpacing"/>
        <w:rPr>
          <w:rFonts w:ascii="Arial" w:hAnsi="Arial" w:cs="Arial"/>
        </w:rPr>
      </w:pPr>
      <w:r w:rsidRPr="00F6570B">
        <w:rPr>
          <w:rFonts w:ascii="Arial" w:hAnsi="Arial" w:cs="Arial"/>
        </w:rPr>
        <w:t>[</w:t>
      </w:r>
      <w:r w:rsidR="0060356F" w:rsidRPr="00F6570B">
        <w:rPr>
          <w:rFonts w:ascii="Arial" w:hAnsi="Arial" w:cs="Arial"/>
        </w:rPr>
        <w:t>Insert Payer Name</w:t>
      </w:r>
      <w:r w:rsidR="00A304F2" w:rsidRPr="00F6570B">
        <w:rPr>
          <w:rFonts w:ascii="Arial" w:hAnsi="Arial" w:cs="Arial"/>
        </w:rPr>
        <w:t>]</w:t>
      </w:r>
      <w:r w:rsidR="0060356F" w:rsidRPr="00F6570B">
        <w:rPr>
          <w:rFonts w:ascii="Arial" w:hAnsi="Arial" w:cs="Arial"/>
        </w:rPr>
        <w:br/>
      </w:r>
      <w:r w:rsidR="00A304F2" w:rsidRPr="00F6570B">
        <w:rPr>
          <w:rFonts w:ascii="Arial" w:hAnsi="Arial" w:cs="Arial"/>
        </w:rPr>
        <w:t>[</w:t>
      </w:r>
      <w:r w:rsidR="0060356F" w:rsidRPr="00F6570B">
        <w:rPr>
          <w:rFonts w:ascii="Arial" w:hAnsi="Arial" w:cs="Arial"/>
        </w:rPr>
        <w:t>Insert Address</w:t>
      </w:r>
      <w:r w:rsidR="00A304F2" w:rsidRPr="00F6570B">
        <w:rPr>
          <w:rFonts w:ascii="Arial" w:hAnsi="Arial" w:cs="Arial"/>
        </w:rPr>
        <w:t>]</w:t>
      </w:r>
      <w:r w:rsidR="0060356F" w:rsidRPr="00F6570B">
        <w:rPr>
          <w:rFonts w:ascii="Arial" w:hAnsi="Arial" w:cs="Arial"/>
        </w:rPr>
        <w:br/>
      </w:r>
      <w:r w:rsidR="00A304F2" w:rsidRPr="00F6570B">
        <w:rPr>
          <w:rFonts w:ascii="Arial" w:hAnsi="Arial" w:cs="Arial"/>
        </w:rPr>
        <w:t>[</w:t>
      </w:r>
      <w:r w:rsidR="0060356F" w:rsidRPr="00F6570B">
        <w:rPr>
          <w:rFonts w:ascii="Arial" w:hAnsi="Arial" w:cs="Arial"/>
        </w:rPr>
        <w:t xml:space="preserve">Insert </w:t>
      </w:r>
      <w:r w:rsidR="00A304F2" w:rsidRPr="00F6570B">
        <w:rPr>
          <w:rFonts w:ascii="Arial" w:hAnsi="Arial" w:cs="Arial"/>
        </w:rPr>
        <w:t>City, State, ZIP]</w:t>
      </w:r>
    </w:p>
    <w:p w14:paraId="6611FD71" w14:textId="0C0A3F07" w:rsidR="0060356F" w:rsidRPr="00F6570B" w:rsidRDefault="0028307E" w:rsidP="0002164A">
      <w:pPr>
        <w:pStyle w:val="NoSpacing"/>
        <w:rPr>
          <w:rFonts w:ascii="Arial" w:hAnsi="Arial" w:cs="Arial"/>
        </w:rPr>
      </w:pPr>
      <w:r w:rsidRPr="00F6570B">
        <w:rPr>
          <w:rFonts w:ascii="Arial" w:hAnsi="Arial" w:cs="Arial"/>
        </w:rPr>
        <w:t>[</w:t>
      </w:r>
      <w:r w:rsidR="0060356F" w:rsidRPr="00F6570B">
        <w:rPr>
          <w:rFonts w:ascii="Arial" w:hAnsi="Arial" w:cs="Arial"/>
        </w:rPr>
        <w:t xml:space="preserve">Insert </w:t>
      </w:r>
      <w:r w:rsidRPr="00F6570B">
        <w:rPr>
          <w:rFonts w:ascii="Arial" w:hAnsi="Arial" w:cs="Arial"/>
        </w:rPr>
        <w:t>Fax]</w:t>
      </w:r>
    </w:p>
    <w:p w14:paraId="4CA1F68A" w14:textId="77777777" w:rsidR="0002164A" w:rsidRPr="00F6570B" w:rsidRDefault="0002164A" w:rsidP="0002164A">
      <w:pPr>
        <w:pStyle w:val="NoSpacing"/>
        <w:rPr>
          <w:rFonts w:ascii="Arial" w:hAnsi="Arial" w:cs="Arial"/>
          <w:b/>
          <w:bCs/>
        </w:rPr>
      </w:pPr>
    </w:p>
    <w:p w14:paraId="29347DDD" w14:textId="32E38CC2" w:rsidR="0002164A" w:rsidRPr="00F6570B" w:rsidRDefault="0002164A" w:rsidP="0002164A">
      <w:pPr>
        <w:pStyle w:val="NoSpacing"/>
        <w:rPr>
          <w:rFonts w:ascii="Arial" w:hAnsi="Arial" w:cs="Arial"/>
        </w:rPr>
      </w:pPr>
      <w:r w:rsidRPr="00F6570B">
        <w:rPr>
          <w:rFonts w:ascii="Arial" w:hAnsi="Arial" w:cs="Arial"/>
          <w:b/>
          <w:bCs/>
        </w:rPr>
        <w:t xml:space="preserve">Re: </w:t>
      </w:r>
      <w:r w:rsidR="0060356F" w:rsidRPr="00F6570B">
        <w:rPr>
          <w:rFonts w:ascii="Arial" w:hAnsi="Arial" w:cs="Arial"/>
          <w:b/>
          <w:bCs/>
        </w:rPr>
        <w:t>Patient Name:</w:t>
      </w:r>
      <w:r w:rsidR="0060356F" w:rsidRPr="00F6570B">
        <w:rPr>
          <w:rFonts w:ascii="Arial" w:hAnsi="Arial" w:cs="Arial"/>
        </w:rPr>
        <w:t xml:space="preserve"> [Insert Name]</w:t>
      </w:r>
    </w:p>
    <w:p w14:paraId="6D5C556A" w14:textId="76891B8A" w:rsidR="0002164A" w:rsidRPr="00F6570B" w:rsidRDefault="0002164A" w:rsidP="0002164A">
      <w:pPr>
        <w:pStyle w:val="NoSpacing"/>
        <w:rPr>
          <w:rFonts w:ascii="Arial" w:hAnsi="Arial" w:cs="Arial"/>
        </w:rPr>
      </w:pPr>
      <w:r w:rsidRPr="00F6570B">
        <w:rPr>
          <w:rFonts w:ascii="Arial" w:hAnsi="Arial" w:cs="Arial"/>
          <w:b/>
          <w:bCs/>
        </w:rPr>
        <w:t xml:space="preserve">       Patient Date of Birth:</w:t>
      </w:r>
      <w:r w:rsidRPr="00F6570B">
        <w:rPr>
          <w:rFonts w:ascii="Arial" w:hAnsi="Arial" w:cs="Arial"/>
        </w:rPr>
        <w:t xml:space="preserve"> [XX/YY/ZZZZ]</w:t>
      </w:r>
    </w:p>
    <w:p w14:paraId="0264A48C" w14:textId="77777777" w:rsidR="0002164A" w:rsidRPr="00F6570B" w:rsidRDefault="0002164A" w:rsidP="0002164A">
      <w:pPr>
        <w:pStyle w:val="NoSpacing"/>
        <w:rPr>
          <w:rFonts w:ascii="Arial" w:hAnsi="Arial" w:cs="Arial"/>
          <w:b/>
          <w:bCs/>
        </w:rPr>
      </w:pPr>
    </w:p>
    <w:p w14:paraId="58E4794A" w14:textId="1AFD5890" w:rsidR="0002164A" w:rsidRPr="00F6570B" w:rsidRDefault="0002164A" w:rsidP="0002164A">
      <w:pPr>
        <w:pStyle w:val="NoSpacing"/>
        <w:rPr>
          <w:rFonts w:ascii="Arial" w:hAnsi="Arial" w:cs="Arial"/>
          <w:b/>
          <w:bCs/>
        </w:rPr>
      </w:pPr>
      <w:r w:rsidRPr="00F6570B">
        <w:rPr>
          <w:rFonts w:ascii="Arial" w:hAnsi="Arial" w:cs="Arial"/>
          <w:b/>
          <w:bCs/>
        </w:rPr>
        <w:t xml:space="preserve">       </w:t>
      </w:r>
      <w:r w:rsidR="0060356F" w:rsidRPr="00F6570B">
        <w:rPr>
          <w:rFonts w:ascii="Arial" w:hAnsi="Arial" w:cs="Arial"/>
          <w:b/>
          <w:bCs/>
        </w:rPr>
        <w:t xml:space="preserve">Member Number: </w:t>
      </w:r>
      <w:r w:rsidR="0060356F" w:rsidRPr="00F6570B">
        <w:rPr>
          <w:rFonts w:ascii="Arial" w:hAnsi="Arial" w:cs="Arial"/>
        </w:rPr>
        <w:t>[Insert Member Number]</w:t>
      </w:r>
    </w:p>
    <w:p w14:paraId="0FDEFDEC" w14:textId="34ABE44F" w:rsidR="0002164A" w:rsidRPr="00F6570B" w:rsidRDefault="0002164A" w:rsidP="0002164A">
      <w:pPr>
        <w:pStyle w:val="NoSpacing"/>
        <w:rPr>
          <w:rFonts w:ascii="Arial" w:hAnsi="Arial" w:cs="Arial"/>
          <w:b/>
          <w:bCs/>
        </w:rPr>
      </w:pPr>
      <w:r w:rsidRPr="00F6570B">
        <w:rPr>
          <w:rFonts w:ascii="Arial" w:hAnsi="Arial" w:cs="Arial"/>
          <w:b/>
          <w:bCs/>
        </w:rPr>
        <w:t xml:space="preserve">       </w:t>
      </w:r>
      <w:r w:rsidR="0060356F" w:rsidRPr="00F6570B">
        <w:rPr>
          <w:rFonts w:ascii="Arial" w:hAnsi="Arial" w:cs="Arial"/>
          <w:b/>
          <w:bCs/>
        </w:rPr>
        <w:t xml:space="preserve">Group Number: </w:t>
      </w:r>
      <w:r w:rsidR="0060356F" w:rsidRPr="00F6570B">
        <w:rPr>
          <w:rFonts w:ascii="Arial" w:hAnsi="Arial" w:cs="Arial"/>
        </w:rPr>
        <w:t>[Insert Group Number</w:t>
      </w:r>
      <w:r w:rsidRPr="00F6570B">
        <w:rPr>
          <w:rFonts w:ascii="Arial" w:hAnsi="Arial" w:cs="Arial"/>
        </w:rPr>
        <w:t>]</w:t>
      </w:r>
      <w:r w:rsidRPr="00F6570B">
        <w:rPr>
          <w:rFonts w:ascii="Arial" w:hAnsi="Arial" w:cs="Arial"/>
          <w:b/>
          <w:bCs/>
        </w:rPr>
        <w:t xml:space="preserve"> </w:t>
      </w:r>
    </w:p>
    <w:p w14:paraId="33261268" w14:textId="49215311" w:rsidR="0002164A" w:rsidRPr="00F6570B" w:rsidRDefault="0002164A" w:rsidP="0002164A">
      <w:pPr>
        <w:pStyle w:val="NoSpacing"/>
        <w:rPr>
          <w:rFonts w:ascii="Arial" w:hAnsi="Arial" w:cs="Arial"/>
          <w:b/>
          <w:bCs/>
        </w:rPr>
        <w:sectPr w:rsidR="0002164A" w:rsidRPr="00F6570B" w:rsidSect="0060356F">
          <w:type w:val="continuous"/>
          <w:pgSz w:w="12240" w:h="15840"/>
          <w:pgMar w:top="1008" w:right="1008" w:bottom="720" w:left="1080" w:header="475" w:footer="475" w:gutter="0"/>
          <w:cols w:num="2" w:space="720"/>
          <w:noEndnote/>
          <w:docGrid w:linePitch="299"/>
        </w:sectPr>
      </w:pPr>
      <w:r w:rsidRPr="00F6570B">
        <w:rPr>
          <w:rFonts w:ascii="Arial" w:hAnsi="Arial" w:cs="Arial"/>
          <w:b/>
          <w:bCs/>
        </w:rPr>
        <w:t xml:space="preserve">       Claim Number</w:t>
      </w:r>
      <w:r w:rsidRPr="00F6570B">
        <w:rPr>
          <w:rFonts w:ascii="Arial" w:hAnsi="Arial" w:cs="Arial"/>
        </w:rPr>
        <w:t>: [Insert Claim Number]</w:t>
      </w:r>
      <w:r w:rsidRPr="00F6570B">
        <w:rPr>
          <w:rFonts w:ascii="Arial" w:hAnsi="Arial" w:cs="Arial"/>
        </w:rPr>
        <w:br/>
      </w:r>
    </w:p>
    <w:p w14:paraId="1605A865" w14:textId="1FD9918D" w:rsidR="00A304F2" w:rsidRPr="00F6570B" w:rsidRDefault="00B14569" w:rsidP="001775AD">
      <w:pPr>
        <w:pStyle w:val="TEXT"/>
        <w:spacing w:before="240"/>
        <w:rPr>
          <w:sz w:val="22"/>
          <w:szCs w:val="22"/>
        </w:rPr>
      </w:pPr>
      <w:r w:rsidRPr="00F6570B">
        <w:rPr>
          <w:noProof/>
          <w:sz w:val="22"/>
          <w:szCs w:val="22"/>
        </w:rPr>
        <mc:AlternateContent>
          <mc:Choice Requires="wps">
            <w:drawing>
              <wp:inline distT="0" distB="0" distL="0" distR="0" wp14:anchorId="0C86E0A5" wp14:editId="7E2F2271">
                <wp:extent cx="6375400" cy="6286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628650"/>
                        </a:xfrm>
                        <a:prstGeom prst="rect">
                          <a:avLst/>
                        </a:prstGeom>
                        <a:solidFill>
                          <a:srgbClr val="FFFFFF"/>
                        </a:solidFill>
                        <a:ln w="9525">
                          <a:solidFill>
                            <a:srgbClr val="000000"/>
                          </a:solidFill>
                          <a:miter lim="800000"/>
                          <a:headEnd/>
                          <a:tailEnd/>
                        </a:ln>
                      </wps:spPr>
                      <wps:txbx>
                        <w:txbxContent>
                          <w:p w14:paraId="1FE95821" w14:textId="15985816" w:rsidR="00B14569" w:rsidRDefault="00B14569" w:rsidP="00B14569">
                            <w:r w:rsidRPr="001473D7">
                              <w:rPr>
                                <w:rFonts w:ascii="Arial" w:hAnsi="Arial" w:cs="Arial"/>
                                <w:b/>
                                <w:bCs/>
                              </w:rPr>
                              <w:t>REQUEST:</w:t>
                            </w:r>
                            <w:r w:rsidRPr="001473D7">
                              <w:rPr>
                                <w:rFonts w:ascii="Arial" w:hAnsi="Arial" w:cs="Arial"/>
                              </w:rPr>
                              <w:t xml:space="preserve"> </w:t>
                            </w:r>
                            <w:r w:rsidR="00297FD1">
                              <w:rPr>
                                <w:rFonts w:ascii="Arial" w:hAnsi="Arial" w:cs="Arial"/>
                              </w:rPr>
                              <w:t>Standard</w:t>
                            </w:r>
                            <w:r w:rsidR="00E9172A">
                              <w:rPr>
                                <w:rFonts w:ascii="Arial" w:hAnsi="Arial" w:cs="Arial"/>
                              </w:rPr>
                              <w:t xml:space="preserve"> Review</w:t>
                            </w:r>
                            <w:r w:rsidR="00297FD1">
                              <w:rPr>
                                <w:rFonts w:ascii="Arial" w:hAnsi="Arial" w:cs="Arial"/>
                              </w:rPr>
                              <w:t xml:space="preserve"> Request for </w:t>
                            </w:r>
                            <w:r w:rsidRPr="001473D7">
                              <w:rPr>
                                <w:rFonts w:ascii="Arial" w:hAnsi="Arial" w:cs="Arial"/>
                              </w:rPr>
                              <w:t xml:space="preserve">Authorization for treatment with </w:t>
                            </w:r>
                            <w:r w:rsidR="001473D7" w:rsidRPr="001473D7">
                              <w:rPr>
                                <w:rFonts w:ascii="Arial" w:hAnsi="Arial" w:cs="Arial"/>
                              </w:rPr>
                              <w:t>CABTREO</w:t>
                            </w:r>
                            <w:r w:rsidR="001473D7" w:rsidRPr="00146442">
                              <w:rPr>
                                <w:rFonts w:ascii="Arial" w:hAnsi="Arial" w:cs="Arial"/>
                                <w:vertAlign w:val="superscript"/>
                              </w:rPr>
                              <w:t>®</w:t>
                            </w:r>
                            <w:r w:rsidR="001473D7" w:rsidRPr="001473D7">
                              <w:rPr>
                                <w:rFonts w:ascii="Arial" w:hAnsi="Arial" w:cs="Arial"/>
                              </w:rPr>
                              <w:t xml:space="preserve"> </w:t>
                            </w:r>
                            <w:r w:rsidR="008E7583" w:rsidRPr="001473D7">
                              <w:rPr>
                                <w:rFonts w:ascii="Arial" w:hAnsi="Arial" w:cs="Arial"/>
                              </w:rPr>
                              <w:t xml:space="preserve">(clindamycin phosphate, adapalene, and benzoyl peroxide) </w:t>
                            </w:r>
                            <w:r w:rsidR="00E8442D" w:rsidRPr="00E8442D">
                              <w:rPr>
                                <w:rFonts w:ascii="Arial" w:hAnsi="Arial" w:cs="Arial"/>
                              </w:rPr>
                              <w:t>Topical Gel 1.2%/0.15%/3.1%</w:t>
                            </w:r>
                            <w:r w:rsidRPr="001473D7">
                              <w:rPr>
                                <w:rFonts w:ascii="Arial" w:hAnsi="Arial" w:cs="Arial"/>
                              </w:rPr>
                              <w:br/>
                            </w:r>
                            <w:r w:rsidRPr="001473D7">
                              <w:rPr>
                                <w:rFonts w:ascii="Arial" w:hAnsi="Arial" w:cs="Arial"/>
                                <w:b/>
                                <w:bCs/>
                              </w:rPr>
                              <w:t>DIAGNOSIS:</w:t>
                            </w:r>
                            <w:r w:rsidRPr="001473D7">
                              <w:rPr>
                                <w:rFonts w:ascii="Arial" w:hAnsi="Arial" w:cs="Arial"/>
                              </w:rPr>
                              <w:t xml:space="preserve"> </w:t>
                            </w:r>
                            <w:r w:rsidR="00112504" w:rsidRPr="001473D7">
                              <w:rPr>
                                <w:rFonts w:ascii="Arial" w:hAnsi="Arial" w:cs="Arial"/>
                              </w:rPr>
                              <w:t>Acne Vulgaris</w:t>
                            </w:r>
                            <w:r w:rsidR="00E8442D">
                              <w:rPr>
                                <w:rFonts w:ascii="Arial" w:hAnsi="Arial" w:cs="Arial"/>
                              </w:rPr>
                              <w:t>,</w:t>
                            </w:r>
                            <w:r w:rsidR="00112504" w:rsidRPr="001473D7">
                              <w:rPr>
                                <w:rFonts w:ascii="Arial" w:hAnsi="Arial" w:cs="Arial"/>
                              </w:rPr>
                              <w:t xml:space="preserve"> ICD10 Code: L70.0</w:t>
                            </w:r>
                            <w:r w:rsidR="00500275" w:rsidRPr="001473D7">
                              <w:rPr>
                                <w:rFonts w:ascii="Arial" w:hAnsi="Arial" w:cs="Arial"/>
                              </w:rPr>
                              <w:t xml:space="preserve"> </w:t>
                            </w:r>
                            <w:r w:rsidR="00612CF1" w:rsidRPr="001473D7">
                              <w:rPr>
                                <w:rFonts w:ascii="Arial" w:hAnsi="Arial" w:cs="Arial"/>
                              </w:rPr>
                              <w:t>[</w:t>
                            </w:r>
                            <w:r w:rsidR="00500275" w:rsidRPr="001473D7">
                              <w:rPr>
                                <w:rFonts w:ascii="Arial" w:hAnsi="Arial" w:cs="Arial"/>
                              </w:rPr>
                              <w:t>Date of Diagnosis</w:t>
                            </w:r>
                            <w:r w:rsidR="00612CF1" w:rsidRPr="001473D7">
                              <w:rPr>
                                <w:rFonts w:ascii="Arial" w:hAnsi="Arial" w:cs="Arial"/>
                              </w:rPr>
                              <w:t>]</w:t>
                            </w:r>
                          </w:p>
                        </w:txbxContent>
                      </wps:txbx>
                      <wps:bodyPr rot="0" vert="horz" wrap="square" lIns="91440" tIns="45720" rIns="91440" bIns="45720" anchor="t" anchorCtr="0">
                        <a:noAutofit/>
                      </wps:bodyPr>
                    </wps:wsp>
                  </a:graphicData>
                </a:graphic>
              </wp:inline>
            </w:drawing>
          </mc:Choice>
          <mc:Fallback>
            <w:pict>
              <v:shapetype w14:anchorId="0C86E0A5" id="_x0000_t202" coordsize="21600,21600" o:spt="202" path="m,l,21600r21600,l21600,xe">
                <v:stroke joinstyle="miter"/>
                <v:path gradientshapeok="t" o:connecttype="rect"/>
              </v:shapetype>
              <v:shape id="Text Box 2" o:spid="_x0000_s1026" type="#_x0000_t202" style="width:502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">
                <v:textbox>
                  <w:txbxContent>
                    <w:p w14:paraId="1FE95821" w14:textId="15985816" w:rsidR="00B14569" w:rsidRDefault="00B14569" w:rsidP="00B14569">
                      <w:r w:rsidRPr="001473D7">
                        <w:rPr>
                          <w:rFonts w:ascii="Arial" w:hAnsi="Arial" w:cs="Arial"/>
                          <w:b/>
                          <w:bCs/>
                        </w:rPr>
                        <w:t>REQUEST:</w:t>
                      </w:r>
                      <w:r w:rsidRPr="001473D7">
                        <w:rPr>
                          <w:rFonts w:ascii="Arial" w:hAnsi="Arial" w:cs="Arial"/>
                        </w:rPr>
                        <w:t xml:space="preserve"> </w:t>
                      </w:r>
                      <w:r w:rsidR="00297FD1">
                        <w:rPr>
                          <w:rFonts w:ascii="Arial" w:hAnsi="Arial" w:cs="Arial"/>
                        </w:rPr>
                        <w:t>Standard</w:t>
                      </w:r>
                      <w:r w:rsidR="00E9172A">
                        <w:rPr>
                          <w:rFonts w:ascii="Arial" w:hAnsi="Arial" w:cs="Arial"/>
                        </w:rPr>
                        <w:t xml:space="preserve"> Review</w:t>
                      </w:r>
                      <w:r w:rsidR="00297FD1">
                        <w:rPr>
                          <w:rFonts w:ascii="Arial" w:hAnsi="Arial" w:cs="Arial"/>
                        </w:rPr>
                        <w:t xml:space="preserve"> Request for </w:t>
                      </w:r>
                      <w:r w:rsidRPr="001473D7">
                        <w:rPr>
                          <w:rFonts w:ascii="Arial" w:hAnsi="Arial" w:cs="Arial"/>
                        </w:rPr>
                        <w:t xml:space="preserve">Authorization for treatment with </w:t>
                      </w:r>
                      <w:r w:rsidR="001473D7" w:rsidRPr="001473D7">
                        <w:rPr>
                          <w:rFonts w:ascii="Arial" w:hAnsi="Arial" w:cs="Arial"/>
                        </w:rPr>
                        <w:t>CABTREO</w:t>
                      </w:r>
                      <w:r w:rsidR="001473D7" w:rsidRPr="00146442">
                        <w:rPr>
                          <w:rFonts w:ascii="Arial" w:hAnsi="Arial" w:cs="Arial"/>
                          <w:vertAlign w:val="superscript"/>
                        </w:rPr>
                        <w:t>®</w:t>
                      </w:r>
                      <w:r w:rsidR="001473D7" w:rsidRPr="001473D7">
                        <w:rPr>
                          <w:rFonts w:ascii="Arial" w:hAnsi="Arial" w:cs="Arial"/>
                        </w:rPr>
                        <w:t xml:space="preserve"> </w:t>
                      </w:r>
                      <w:r w:rsidR="008E7583" w:rsidRPr="001473D7">
                        <w:rPr>
                          <w:rFonts w:ascii="Arial" w:hAnsi="Arial" w:cs="Arial"/>
                        </w:rPr>
                        <w:t xml:space="preserve">(clindamycin phosphate, adapalene, and benzoyl peroxide) </w:t>
                      </w:r>
                      <w:r w:rsidR="00E8442D" w:rsidRPr="00E8442D">
                        <w:rPr>
                          <w:rFonts w:ascii="Arial" w:hAnsi="Arial" w:cs="Arial"/>
                        </w:rPr>
                        <w:t>Topical Gel 1.2%/0.15%/3.1%</w:t>
                      </w:r>
                      <w:r w:rsidRPr="001473D7">
                        <w:rPr>
                          <w:rFonts w:ascii="Arial" w:hAnsi="Arial" w:cs="Arial"/>
                        </w:rPr>
                        <w:br/>
                      </w:r>
                      <w:r w:rsidRPr="001473D7">
                        <w:rPr>
                          <w:rFonts w:ascii="Arial" w:hAnsi="Arial" w:cs="Arial"/>
                          <w:b/>
                          <w:bCs/>
                        </w:rPr>
                        <w:t>DIAGNOSIS:</w:t>
                      </w:r>
                      <w:r w:rsidRPr="001473D7">
                        <w:rPr>
                          <w:rFonts w:ascii="Arial" w:hAnsi="Arial" w:cs="Arial"/>
                        </w:rPr>
                        <w:t xml:space="preserve"> </w:t>
                      </w:r>
                      <w:r w:rsidR="00112504" w:rsidRPr="001473D7">
                        <w:rPr>
                          <w:rFonts w:ascii="Arial" w:hAnsi="Arial" w:cs="Arial"/>
                        </w:rPr>
                        <w:t>Acne Vulgaris</w:t>
                      </w:r>
                      <w:r w:rsidR="00E8442D">
                        <w:rPr>
                          <w:rFonts w:ascii="Arial" w:hAnsi="Arial" w:cs="Arial"/>
                        </w:rPr>
                        <w:t>,</w:t>
                      </w:r>
                      <w:r w:rsidR="00112504" w:rsidRPr="001473D7">
                        <w:rPr>
                          <w:rFonts w:ascii="Arial" w:hAnsi="Arial" w:cs="Arial"/>
                        </w:rPr>
                        <w:t xml:space="preserve"> ICD10 Code: L70.0</w:t>
                      </w:r>
                      <w:r w:rsidR="00500275" w:rsidRPr="001473D7">
                        <w:rPr>
                          <w:rFonts w:ascii="Arial" w:hAnsi="Arial" w:cs="Arial"/>
                        </w:rPr>
                        <w:t xml:space="preserve"> </w:t>
                      </w:r>
                      <w:r w:rsidR="00612CF1" w:rsidRPr="001473D7">
                        <w:rPr>
                          <w:rFonts w:ascii="Arial" w:hAnsi="Arial" w:cs="Arial"/>
                        </w:rPr>
                        <w:t>[</w:t>
                      </w:r>
                      <w:r w:rsidR="00500275" w:rsidRPr="001473D7">
                        <w:rPr>
                          <w:rFonts w:ascii="Arial" w:hAnsi="Arial" w:cs="Arial"/>
                        </w:rPr>
                        <w:t>Date of Diagnosis</w:t>
                      </w:r>
                      <w:r w:rsidR="00612CF1" w:rsidRPr="001473D7">
                        <w:rPr>
                          <w:rFonts w:ascii="Arial" w:hAnsi="Arial" w:cs="Arial"/>
                        </w:rPr>
                        <w:t>]</w:t>
                      </w:r>
                    </w:p>
                  </w:txbxContent>
                </v:textbox>
                <w10:anchorlock/>
              </v:shape>
            </w:pict>
          </mc:Fallback>
        </mc:AlternateContent>
      </w:r>
      <w:r w:rsidRPr="00F6570B">
        <w:rPr>
          <w:sz w:val="22"/>
          <w:szCs w:val="22"/>
        </w:rPr>
        <w:br/>
      </w:r>
      <w:r w:rsidRPr="00F6570B">
        <w:rPr>
          <w:sz w:val="22"/>
          <w:szCs w:val="22"/>
        </w:rPr>
        <w:br/>
        <w:t xml:space="preserve">Dear </w:t>
      </w:r>
      <w:r w:rsidR="003E65DC" w:rsidRPr="00F6570B">
        <w:rPr>
          <w:sz w:val="22"/>
          <w:szCs w:val="22"/>
        </w:rPr>
        <w:t>Reviewer</w:t>
      </w:r>
      <w:r w:rsidR="001F4D7C" w:rsidRPr="00F6570B">
        <w:rPr>
          <w:sz w:val="22"/>
          <w:szCs w:val="22"/>
        </w:rPr>
        <w:t>,</w:t>
      </w:r>
      <w:r w:rsidR="0028307E" w:rsidRPr="00F6570B">
        <w:rPr>
          <w:sz w:val="22"/>
          <w:szCs w:val="22"/>
        </w:rPr>
        <w:t xml:space="preserve"> </w:t>
      </w:r>
    </w:p>
    <w:p w14:paraId="73C3D10C" w14:textId="5C85B2E0" w:rsidR="00DA77BF" w:rsidRPr="00F6570B" w:rsidRDefault="00EF3128" w:rsidP="00FD2AD8">
      <w:pPr>
        <w:pStyle w:val="TEXT"/>
        <w:spacing w:before="240"/>
        <w:rPr>
          <w:sz w:val="22"/>
          <w:szCs w:val="22"/>
        </w:rPr>
      </w:pPr>
      <w:r w:rsidRPr="00F6570B">
        <w:rPr>
          <w:sz w:val="22"/>
          <w:szCs w:val="22"/>
        </w:rPr>
        <w:t xml:space="preserve">I </w:t>
      </w:r>
      <w:r w:rsidR="0028307E" w:rsidRPr="00F6570B">
        <w:rPr>
          <w:sz w:val="22"/>
          <w:szCs w:val="22"/>
        </w:rPr>
        <w:t xml:space="preserve">have reviewed and </w:t>
      </w:r>
      <w:r w:rsidR="00FB2708" w:rsidRPr="00F6570B">
        <w:rPr>
          <w:sz w:val="22"/>
          <w:szCs w:val="22"/>
        </w:rPr>
        <w:t>acknowledged your guidelines and the management responsibilities for branded</w:t>
      </w:r>
      <w:r w:rsidR="0028307E" w:rsidRPr="00F6570B">
        <w:rPr>
          <w:sz w:val="22"/>
          <w:szCs w:val="22"/>
        </w:rPr>
        <w:t xml:space="preserve"> medications. </w:t>
      </w:r>
      <w:r w:rsidRPr="00F6570B">
        <w:rPr>
          <w:sz w:val="22"/>
          <w:szCs w:val="22"/>
        </w:rPr>
        <w:t xml:space="preserve">I </w:t>
      </w:r>
      <w:r w:rsidR="0028307E" w:rsidRPr="00F6570B">
        <w:rPr>
          <w:sz w:val="22"/>
          <w:szCs w:val="22"/>
        </w:rPr>
        <w:t xml:space="preserve">understand your reason </w:t>
      </w:r>
      <w:r w:rsidR="007455AE" w:rsidRPr="00F6570B">
        <w:rPr>
          <w:sz w:val="22"/>
          <w:szCs w:val="22"/>
        </w:rPr>
        <w:t>for</w:t>
      </w:r>
      <w:r w:rsidR="0028307E" w:rsidRPr="00F6570B">
        <w:rPr>
          <w:sz w:val="22"/>
          <w:szCs w:val="22"/>
        </w:rPr>
        <w:t xml:space="preserve"> denial </w:t>
      </w:r>
      <w:r w:rsidR="00FD7902" w:rsidRPr="00F6570B">
        <w:rPr>
          <w:sz w:val="22"/>
          <w:szCs w:val="22"/>
        </w:rPr>
        <w:t>of</w:t>
      </w:r>
      <w:r w:rsidR="001A4349" w:rsidRPr="00F6570B">
        <w:rPr>
          <w:sz w:val="22"/>
          <w:szCs w:val="22"/>
        </w:rPr>
        <w:t xml:space="preserve"> </w:t>
      </w:r>
      <w:r w:rsidR="001A4349" w:rsidRPr="00F6570B">
        <w:rPr>
          <w:b/>
          <w:bCs/>
          <w:sz w:val="22"/>
          <w:szCs w:val="22"/>
        </w:rPr>
        <w:t>CABTREO</w:t>
      </w:r>
      <w:r w:rsidR="001A4349" w:rsidRPr="00146442">
        <w:rPr>
          <w:b/>
          <w:bCs/>
          <w:sz w:val="22"/>
          <w:szCs w:val="22"/>
          <w:vertAlign w:val="superscript"/>
        </w:rPr>
        <w:t>®</w:t>
      </w:r>
      <w:r w:rsidR="00FD7902" w:rsidRPr="00F6570B">
        <w:rPr>
          <w:sz w:val="22"/>
          <w:szCs w:val="22"/>
        </w:rPr>
        <w:t xml:space="preserve"> </w:t>
      </w:r>
      <w:r w:rsidR="001A4349" w:rsidRPr="00F6570B">
        <w:rPr>
          <w:sz w:val="22"/>
          <w:szCs w:val="22"/>
        </w:rPr>
        <w:t>[</w:t>
      </w:r>
      <w:r w:rsidR="0028307E" w:rsidRPr="00F6570B">
        <w:rPr>
          <w:b/>
          <w:bCs/>
          <w:sz w:val="22"/>
          <w:szCs w:val="22"/>
        </w:rPr>
        <w:t xml:space="preserve">insert the reason for denial </w:t>
      </w:r>
      <w:r w:rsidR="00FD2AD8" w:rsidRPr="00F6570B">
        <w:rPr>
          <w:b/>
          <w:bCs/>
          <w:sz w:val="22"/>
          <w:szCs w:val="22"/>
        </w:rPr>
        <w:t>verbatim</w:t>
      </w:r>
      <w:r w:rsidR="0028307E" w:rsidRPr="00F6570B">
        <w:rPr>
          <w:b/>
          <w:bCs/>
          <w:sz w:val="22"/>
          <w:szCs w:val="22"/>
        </w:rPr>
        <w:t xml:space="preserve"> from the denial letter</w:t>
      </w:r>
      <w:r w:rsidR="00E9172A" w:rsidRPr="00F6570B">
        <w:rPr>
          <w:b/>
          <w:bCs/>
          <w:sz w:val="22"/>
          <w:szCs w:val="22"/>
        </w:rPr>
        <w:t>]</w:t>
      </w:r>
      <w:r w:rsidR="00FD2AD8" w:rsidRPr="00F6570B">
        <w:rPr>
          <w:sz w:val="22"/>
          <w:szCs w:val="22"/>
        </w:rPr>
        <w:t xml:space="preserve">. </w:t>
      </w:r>
      <w:r w:rsidRPr="00F6570B">
        <w:rPr>
          <w:sz w:val="22"/>
          <w:szCs w:val="22"/>
        </w:rPr>
        <w:t xml:space="preserve">I am </w:t>
      </w:r>
      <w:r w:rsidR="00FD2AD8" w:rsidRPr="00F6570B">
        <w:rPr>
          <w:sz w:val="22"/>
          <w:szCs w:val="22"/>
        </w:rPr>
        <w:t xml:space="preserve">requesting that you reassess your recent denial of </w:t>
      </w:r>
      <w:r w:rsidR="001473D7" w:rsidRPr="00F6570B">
        <w:rPr>
          <w:sz w:val="22"/>
          <w:szCs w:val="22"/>
        </w:rPr>
        <w:t xml:space="preserve">CABTREO </w:t>
      </w:r>
      <w:r w:rsidR="00FD2AD8" w:rsidRPr="00F6570B">
        <w:rPr>
          <w:sz w:val="22"/>
          <w:szCs w:val="22"/>
        </w:rPr>
        <w:t>coverage based on the following</w:t>
      </w:r>
      <w:r w:rsidR="00221008" w:rsidRPr="00F6570B">
        <w:rPr>
          <w:sz w:val="22"/>
          <w:szCs w:val="22"/>
        </w:rPr>
        <w:t xml:space="preserve">: </w:t>
      </w:r>
    </w:p>
    <w:p w14:paraId="5F19B631" w14:textId="77777777" w:rsidR="00AA5C48" w:rsidRPr="008E6E86" w:rsidRDefault="001F4DD1" w:rsidP="001F4DD1">
      <w:pPr>
        <w:pStyle w:val="TEXT"/>
        <w:spacing w:before="240"/>
        <w:rPr>
          <w:b/>
          <w:bCs/>
          <w:sz w:val="22"/>
          <w:szCs w:val="22"/>
        </w:rPr>
      </w:pPr>
      <w:r w:rsidRPr="008E6E86">
        <w:rPr>
          <w:b/>
          <w:bCs/>
          <w:sz w:val="22"/>
          <w:szCs w:val="22"/>
        </w:rPr>
        <w:t>Summary of Patient’s History:</w:t>
      </w:r>
    </w:p>
    <w:p w14:paraId="159B64F7" w14:textId="78B19B05" w:rsidR="00E15DAC" w:rsidRPr="008E6E86" w:rsidRDefault="00E15DAC" w:rsidP="00940F6B">
      <w:pPr>
        <w:pStyle w:val="NoSpacing"/>
        <w:rPr>
          <w:rFonts w:ascii="Arial" w:hAnsi="Arial" w:cs="Arial"/>
        </w:rPr>
      </w:pPr>
      <w:r w:rsidRPr="008E6E86">
        <w:rPr>
          <w:rFonts w:ascii="Arial" w:hAnsi="Arial" w:cs="Arial"/>
        </w:rPr>
        <w:t>Acne severity: [ ] Mild [ ] Moderate [ ] Severe</w:t>
      </w:r>
      <w:r w:rsidR="00831BA3" w:rsidRPr="008E6E86">
        <w:rPr>
          <w:rFonts w:ascii="Arial" w:hAnsi="Arial" w:cs="Arial"/>
        </w:rPr>
        <w:t xml:space="preserve"> (Attach photographs if available)</w:t>
      </w:r>
    </w:p>
    <w:p w14:paraId="057D1ED7" w14:textId="45DE760D" w:rsidR="00E15DAC" w:rsidRPr="008E6E86" w:rsidRDefault="00E15DAC" w:rsidP="00940F6B">
      <w:pPr>
        <w:pStyle w:val="NoSpacing"/>
        <w:rPr>
          <w:rFonts w:ascii="Arial" w:hAnsi="Arial" w:cs="Arial"/>
        </w:rPr>
      </w:pPr>
      <w:r w:rsidRPr="008E6E86">
        <w:rPr>
          <w:rFonts w:ascii="Arial" w:hAnsi="Arial" w:cs="Arial"/>
        </w:rPr>
        <w:t>Distribution: [ ] Face [ ] Chest [ ] Back</w:t>
      </w:r>
    </w:p>
    <w:p w14:paraId="2C14E00B" w14:textId="51EF4DE7" w:rsidR="00E15DAC" w:rsidRPr="008E6E86" w:rsidRDefault="00E15DAC" w:rsidP="00940F6B">
      <w:pPr>
        <w:pStyle w:val="NoSpacing"/>
        <w:rPr>
          <w:rFonts w:ascii="Arial" w:hAnsi="Arial" w:cs="Arial"/>
        </w:rPr>
      </w:pPr>
      <w:r w:rsidRPr="008E6E86">
        <w:rPr>
          <w:rFonts w:ascii="Arial" w:hAnsi="Arial" w:cs="Arial"/>
        </w:rPr>
        <w:t xml:space="preserve">Symptoms: [ ] Papules [ ] Pustules [ ] Nodules [ ] </w:t>
      </w:r>
      <w:proofErr w:type="spellStart"/>
      <w:r w:rsidR="008E6E86" w:rsidRPr="008E6E86">
        <w:rPr>
          <w:rFonts w:ascii="Arial" w:hAnsi="Arial" w:cs="Arial"/>
        </w:rPr>
        <w:t>Comedones</w:t>
      </w:r>
      <w:proofErr w:type="spellEnd"/>
      <w:r w:rsidR="008E6E86" w:rsidRPr="008E6E86">
        <w:rPr>
          <w:rFonts w:ascii="Arial" w:hAnsi="Arial" w:cs="Arial"/>
        </w:rPr>
        <w:t xml:space="preserve"> </w:t>
      </w:r>
    </w:p>
    <w:p w14:paraId="37E3D9D7" w14:textId="544CD529" w:rsidR="00E15DAC" w:rsidRPr="008E6E86" w:rsidRDefault="00E15DAC" w:rsidP="00940F6B">
      <w:pPr>
        <w:pStyle w:val="NoSpacing"/>
        <w:rPr>
          <w:rFonts w:ascii="Arial" w:hAnsi="Arial" w:cs="Arial"/>
        </w:rPr>
      </w:pPr>
      <w:r w:rsidRPr="008E6E86">
        <w:rPr>
          <w:rFonts w:ascii="Arial" w:hAnsi="Arial" w:cs="Arial"/>
        </w:rPr>
        <w:t>Duration: [ ] &lt;6 months [ ] 6–12 months [ ] &gt;1 year</w:t>
      </w:r>
    </w:p>
    <w:p w14:paraId="05414D60" w14:textId="7137CB95" w:rsidR="00DA77BF" w:rsidRPr="00F6570B" w:rsidRDefault="00DA77BF" w:rsidP="00940F6B">
      <w:pPr>
        <w:pStyle w:val="NoSpacing"/>
        <w:rPr>
          <w:rFonts w:ascii="Arial" w:hAnsi="Arial" w:cs="Arial"/>
          <w:b/>
          <w:bCs/>
        </w:rPr>
      </w:pPr>
    </w:p>
    <w:p w14:paraId="666EEE6B" w14:textId="088C95C2" w:rsidR="00E92613" w:rsidRDefault="00981808" w:rsidP="00183340">
      <w:pPr>
        <w:pStyle w:val="BOLDBULLETS"/>
        <w:rPr>
          <w:b w:val="0"/>
          <w:bCs/>
          <w:i/>
          <w:iCs/>
          <w:sz w:val="22"/>
          <w:szCs w:val="22"/>
        </w:rPr>
      </w:pPr>
      <w:r w:rsidRPr="00F6570B">
        <w:rPr>
          <w:b w:val="0"/>
          <w:bCs/>
          <w:i/>
          <w:iCs/>
          <w:sz w:val="22"/>
          <w:szCs w:val="22"/>
        </w:rPr>
        <w:t xml:space="preserve">Note: </w:t>
      </w:r>
      <w:r w:rsidR="00BF6220">
        <w:rPr>
          <w:b w:val="0"/>
          <w:bCs/>
          <w:i/>
          <w:iCs/>
          <w:sz w:val="22"/>
          <w:szCs w:val="22"/>
        </w:rPr>
        <w:t>E</w:t>
      </w:r>
      <w:r w:rsidRPr="00F6570B">
        <w:rPr>
          <w:b w:val="0"/>
          <w:bCs/>
          <w:i/>
          <w:iCs/>
          <w:sz w:val="22"/>
          <w:szCs w:val="22"/>
        </w:rPr>
        <w:t>xercise your medical judgment and discretion when providing a diagnosis and characterization of</w:t>
      </w:r>
    </w:p>
    <w:p w14:paraId="40AB3DDF" w14:textId="28C3465C" w:rsidR="00BB29C5" w:rsidRPr="00F6570B" w:rsidRDefault="00981808" w:rsidP="00183340">
      <w:pPr>
        <w:pStyle w:val="BOLDBULLETS"/>
        <w:rPr>
          <w:b w:val="0"/>
          <w:bCs/>
          <w:i/>
          <w:iCs/>
          <w:sz w:val="22"/>
          <w:szCs w:val="22"/>
        </w:rPr>
      </w:pPr>
      <w:r w:rsidRPr="00F6570B">
        <w:rPr>
          <w:b w:val="0"/>
          <w:bCs/>
          <w:i/>
          <w:iCs/>
          <w:sz w:val="22"/>
          <w:szCs w:val="22"/>
        </w:rPr>
        <w:t>the patient’s medical condition.</w:t>
      </w:r>
    </w:p>
    <w:p w14:paraId="0FE6267B" w14:textId="77777777" w:rsidR="00BB29C5" w:rsidRPr="00F6570B" w:rsidRDefault="00BB29C5" w:rsidP="00DA77BF">
      <w:pPr>
        <w:pStyle w:val="BOLDBULLETS"/>
        <w:ind w:left="0" w:firstLine="0"/>
        <w:rPr>
          <w:sz w:val="22"/>
          <w:szCs w:val="22"/>
        </w:rPr>
      </w:pPr>
    </w:p>
    <w:p w14:paraId="641F7E65" w14:textId="0D4C7A57" w:rsidR="00FD2AD8" w:rsidRPr="00F6570B" w:rsidRDefault="00FD2AD8" w:rsidP="00DA77BF">
      <w:pPr>
        <w:pStyle w:val="BOLDBULLETS"/>
        <w:ind w:left="0" w:firstLine="0"/>
        <w:rPr>
          <w:sz w:val="22"/>
          <w:szCs w:val="22"/>
        </w:rPr>
      </w:pPr>
      <w:r w:rsidRPr="00F6570B">
        <w:rPr>
          <w:sz w:val="22"/>
          <w:szCs w:val="22"/>
        </w:rPr>
        <w:t xml:space="preserve">Previously Tried Medications </w:t>
      </w:r>
      <w:r w:rsidR="00CC3213" w:rsidRPr="00F6570B">
        <w:rPr>
          <w:sz w:val="22"/>
          <w:szCs w:val="22"/>
        </w:rPr>
        <w:t>for</w:t>
      </w:r>
      <w:r w:rsidRPr="00F6570B">
        <w:rPr>
          <w:sz w:val="22"/>
          <w:szCs w:val="22"/>
        </w:rPr>
        <w:t xml:space="preserve"> </w:t>
      </w:r>
      <w:r w:rsidR="00C42BBA" w:rsidRPr="00F6570B">
        <w:rPr>
          <w:sz w:val="22"/>
          <w:szCs w:val="22"/>
        </w:rPr>
        <w:t>Acne Vulgar</w:t>
      </w:r>
      <w:r w:rsidR="00183340" w:rsidRPr="00F6570B">
        <w:rPr>
          <w:sz w:val="22"/>
          <w:szCs w:val="22"/>
        </w:rPr>
        <w:t>is</w:t>
      </w:r>
    </w:p>
    <w:p w14:paraId="6B8B55AA" w14:textId="7AC87946" w:rsidR="00734DA9" w:rsidRPr="00F6570B" w:rsidRDefault="00734DA9" w:rsidP="001D512D">
      <w:pPr>
        <w:pStyle w:val="BOLDBULLETS"/>
        <w:ind w:left="0" w:firstLine="0"/>
        <w:rPr>
          <w:sz w:val="22"/>
          <w:szCs w:val="22"/>
        </w:rPr>
      </w:pPr>
    </w:p>
    <w:tbl>
      <w:tblPr>
        <w:tblW w:w="10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2"/>
        <w:gridCol w:w="4294"/>
        <w:gridCol w:w="1110"/>
        <w:gridCol w:w="3686"/>
      </w:tblGrid>
      <w:tr w:rsidR="001D512D" w:rsidRPr="00F6570B" w14:paraId="09D50D5C"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33BB40E8" w14:textId="107F2A0F" w:rsidR="001D512D" w:rsidRPr="008E6E86" w:rsidRDefault="001D512D" w:rsidP="008E6E86">
            <w:pPr>
              <w:pStyle w:val="BOLDBULLETS"/>
              <w:rPr>
                <w:b w:val="0"/>
                <w:bCs/>
              </w:rPr>
            </w:pPr>
            <w:r w:rsidRPr="008E6E86">
              <w:rPr>
                <w:b w:val="0"/>
                <w:bCs/>
                <w:sz w:val="18"/>
                <w:szCs w:val="18"/>
              </w:rPr>
              <w:t>Check</w:t>
            </w:r>
            <w:r w:rsidR="008E6E86" w:rsidRPr="008E6E86">
              <w:rPr>
                <w:b w:val="0"/>
                <w:bCs/>
                <w:sz w:val="18"/>
                <w:szCs w:val="18"/>
              </w:rPr>
              <w:t xml:space="preserve"> </w:t>
            </w:r>
            <w:r w:rsidR="00217DC2" w:rsidRPr="008E6E86">
              <w:rPr>
                <w:b w:val="0"/>
                <w:bCs/>
                <w:sz w:val="18"/>
                <w:szCs w:val="18"/>
              </w:rPr>
              <w:t>Applicable</w:t>
            </w:r>
          </w:p>
        </w:tc>
        <w:tc>
          <w:tcPr>
            <w:tcW w:w="4294" w:type="dxa"/>
            <w:tcBorders>
              <w:top w:val="single" w:sz="6" w:space="0" w:color="auto"/>
              <w:left w:val="single" w:sz="6" w:space="0" w:color="auto"/>
              <w:bottom w:val="single" w:sz="6" w:space="0" w:color="auto"/>
              <w:right w:val="single" w:sz="6" w:space="0" w:color="auto"/>
            </w:tcBorders>
            <w:hideMark/>
          </w:tcPr>
          <w:p w14:paraId="31B5C1B9" w14:textId="5E872EBC" w:rsidR="001D512D" w:rsidRPr="008E6E86" w:rsidRDefault="00957EC3" w:rsidP="00F6570B">
            <w:pPr>
              <w:pStyle w:val="BOLDBULLETS"/>
              <w:ind w:left="0" w:firstLine="0"/>
              <w:rPr>
                <w:b w:val="0"/>
                <w:bCs/>
              </w:rPr>
            </w:pPr>
            <w:r w:rsidRPr="008E6E86">
              <w:rPr>
                <w:b w:val="0"/>
                <w:bCs/>
              </w:rPr>
              <w:t xml:space="preserve"> Previously Tried Medications</w:t>
            </w:r>
          </w:p>
        </w:tc>
        <w:tc>
          <w:tcPr>
            <w:tcW w:w="1110" w:type="dxa"/>
            <w:tcBorders>
              <w:top w:val="single" w:sz="6" w:space="0" w:color="auto"/>
              <w:left w:val="single" w:sz="6" w:space="0" w:color="auto"/>
              <w:bottom w:val="single" w:sz="6" w:space="0" w:color="auto"/>
              <w:right w:val="single" w:sz="6" w:space="0" w:color="auto"/>
            </w:tcBorders>
            <w:hideMark/>
          </w:tcPr>
          <w:p w14:paraId="22D03FB8" w14:textId="6529975E" w:rsidR="001D512D" w:rsidRPr="008E6E86" w:rsidRDefault="001D512D" w:rsidP="00F6570B">
            <w:pPr>
              <w:pStyle w:val="BOLDBULLETS"/>
              <w:rPr>
                <w:b w:val="0"/>
                <w:bCs/>
              </w:rPr>
            </w:pPr>
            <w:r w:rsidRPr="008E6E86">
              <w:rPr>
                <w:b w:val="0"/>
                <w:bCs/>
              </w:rPr>
              <w:t>Trial</w:t>
            </w:r>
          </w:p>
          <w:p w14:paraId="24D5ADF3" w14:textId="07A0D6FB" w:rsidR="001D512D" w:rsidRPr="008E6E86" w:rsidRDefault="001D512D" w:rsidP="00F6570B">
            <w:pPr>
              <w:pStyle w:val="BOLDBULLETS"/>
              <w:rPr>
                <w:b w:val="0"/>
                <w:bCs/>
              </w:rPr>
            </w:pPr>
            <w:r w:rsidRPr="008E6E86">
              <w:rPr>
                <w:b w:val="0"/>
                <w:bCs/>
              </w:rPr>
              <w:t>Dates</w:t>
            </w:r>
          </w:p>
        </w:tc>
        <w:tc>
          <w:tcPr>
            <w:tcW w:w="3686" w:type="dxa"/>
            <w:tcBorders>
              <w:top w:val="single" w:sz="6" w:space="0" w:color="auto"/>
              <w:left w:val="single" w:sz="6" w:space="0" w:color="auto"/>
              <w:bottom w:val="single" w:sz="6" w:space="0" w:color="auto"/>
              <w:right w:val="single" w:sz="6" w:space="0" w:color="auto"/>
            </w:tcBorders>
            <w:hideMark/>
          </w:tcPr>
          <w:p w14:paraId="0B65DB5C" w14:textId="77777777" w:rsidR="0040527E" w:rsidRPr="008E6E86" w:rsidRDefault="001D512D" w:rsidP="00F6570B">
            <w:pPr>
              <w:pStyle w:val="BOLDBULLETS"/>
              <w:rPr>
                <w:b w:val="0"/>
                <w:bCs/>
              </w:rPr>
            </w:pPr>
            <w:r w:rsidRPr="008E6E86">
              <w:rPr>
                <w:b w:val="0"/>
                <w:bCs/>
              </w:rPr>
              <w:t>Discontinuation Reasoning/ </w:t>
            </w:r>
          </w:p>
          <w:p w14:paraId="347F11A7" w14:textId="796DFBE8" w:rsidR="001D512D" w:rsidRPr="008E6E86" w:rsidRDefault="001D512D" w:rsidP="00F6570B">
            <w:pPr>
              <w:pStyle w:val="BOLDBULLETS"/>
              <w:rPr>
                <w:b w:val="0"/>
                <w:bCs/>
              </w:rPr>
            </w:pPr>
            <w:r w:rsidRPr="008E6E86">
              <w:rPr>
                <w:b w:val="0"/>
                <w:bCs/>
              </w:rPr>
              <w:t>Response to Treatment</w:t>
            </w:r>
          </w:p>
        </w:tc>
      </w:tr>
      <w:tr w:rsidR="001D512D" w:rsidRPr="00F6570B" w14:paraId="0D14688C"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4D6E4628" w14:textId="77777777" w:rsidR="001D512D" w:rsidRPr="008E6E86" w:rsidRDefault="001D512D" w:rsidP="001D512D">
            <w:pPr>
              <w:pStyle w:val="BOLDBULLETS"/>
              <w:rPr>
                <w:b w:val="0"/>
                <w:bCs/>
              </w:rPr>
            </w:pPr>
            <w:r w:rsidRPr="008E6E86">
              <w:rPr>
                <w:rFonts w:ascii="Segoe UI Symbol" w:hAnsi="Segoe UI Symbol" w:cs="Segoe UI Symbol"/>
                <w:b w:val="0"/>
                <w:bCs/>
              </w:rPr>
              <w:t>☐</w:t>
            </w:r>
            <w:r w:rsidRPr="008E6E86">
              <w:rPr>
                <w:b w:val="0"/>
                <w:bCs/>
              </w:rPr>
              <w:t> </w:t>
            </w:r>
          </w:p>
        </w:tc>
        <w:tc>
          <w:tcPr>
            <w:tcW w:w="4294" w:type="dxa"/>
            <w:tcBorders>
              <w:top w:val="single" w:sz="6" w:space="0" w:color="auto"/>
              <w:left w:val="single" w:sz="6" w:space="0" w:color="auto"/>
              <w:bottom w:val="single" w:sz="6" w:space="0" w:color="auto"/>
              <w:right w:val="single" w:sz="6" w:space="0" w:color="auto"/>
            </w:tcBorders>
            <w:hideMark/>
          </w:tcPr>
          <w:p w14:paraId="1A864E2A" w14:textId="77777777" w:rsidR="001D512D" w:rsidRPr="008E6E86" w:rsidRDefault="001D512D" w:rsidP="001D512D">
            <w:pPr>
              <w:pStyle w:val="BOLDBULLETS"/>
              <w:rPr>
                <w:b w:val="0"/>
                <w:bCs/>
              </w:rPr>
            </w:pPr>
            <w:r w:rsidRPr="008E6E86">
              <w:rPr>
                <w:b w:val="0"/>
                <w:bCs/>
              </w:rPr>
              <w:t>Benzoyl Peroxide Monotherapy </w:t>
            </w:r>
          </w:p>
        </w:tc>
        <w:tc>
          <w:tcPr>
            <w:tcW w:w="1110" w:type="dxa"/>
            <w:tcBorders>
              <w:top w:val="single" w:sz="6" w:space="0" w:color="auto"/>
              <w:left w:val="single" w:sz="6" w:space="0" w:color="auto"/>
              <w:bottom w:val="single" w:sz="6" w:space="0" w:color="auto"/>
              <w:right w:val="single" w:sz="6" w:space="0" w:color="auto"/>
            </w:tcBorders>
            <w:hideMark/>
          </w:tcPr>
          <w:p w14:paraId="2D716EBC" w14:textId="77777777" w:rsidR="001D512D" w:rsidRPr="008E6E86" w:rsidRDefault="001D512D" w:rsidP="001D512D">
            <w:pPr>
              <w:pStyle w:val="BOLDBULLETS"/>
              <w:rPr>
                <w:b w:val="0"/>
                <w:bCs/>
              </w:rPr>
            </w:pPr>
            <w:r w:rsidRPr="008E6E86">
              <w:rPr>
                <w:b w:val="0"/>
                <w:bCs/>
              </w:rPr>
              <w:t> </w:t>
            </w:r>
          </w:p>
        </w:tc>
        <w:tc>
          <w:tcPr>
            <w:tcW w:w="3686" w:type="dxa"/>
            <w:tcBorders>
              <w:top w:val="single" w:sz="6" w:space="0" w:color="auto"/>
              <w:left w:val="single" w:sz="6" w:space="0" w:color="auto"/>
              <w:bottom w:val="single" w:sz="6" w:space="0" w:color="auto"/>
              <w:right w:val="single" w:sz="6" w:space="0" w:color="auto"/>
            </w:tcBorders>
            <w:hideMark/>
          </w:tcPr>
          <w:p w14:paraId="73B1F517" w14:textId="77777777" w:rsidR="001D512D" w:rsidRPr="008E6E86" w:rsidRDefault="001D512D" w:rsidP="001D512D">
            <w:pPr>
              <w:pStyle w:val="BOLDBULLETS"/>
              <w:rPr>
                <w:b w:val="0"/>
                <w:bCs/>
              </w:rPr>
            </w:pPr>
            <w:r w:rsidRPr="008E6E86">
              <w:rPr>
                <w:b w:val="0"/>
                <w:bCs/>
              </w:rPr>
              <w:t> </w:t>
            </w:r>
          </w:p>
        </w:tc>
      </w:tr>
      <w:tr w:rsidR="001D512D" w:rsidRPr="00F6570B" w14:paraId="45A18925"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62FB79A1" w14:textId="77777777" w:rsidR="001D512D" w:rsidRPr="008E6E86" w:rsidRDefault="001D512D" w:rsidP="001D512D">
            <w:pPr>
              <w:pStyle w:val="BOLDBULLETS"/>
              <w:rPr>
                <w:b w:val="0"/>
                <w:bCs/>
              </w:rPr>
            </w:pPr>
            <w:r w:rsidRPr="008E6E86">
              <w:rPr>
                <w:rFonts w:ascii="Segoe UI Symbol" w:hAnsi="Segoe UI Symbol" w:cs="Segoe UI Symbol"/>
                <w:b w:val="0"/>
                <w:bCs/>
              </w:rPr>
              <w:t>☐</w:t>
            </w:r>
            <w:r w:rsidRPr="008E6E86">
              <w:rPr>
                <w:b w:val="0"/>
                <w:bCs/>
              </w:rPr>
              <w:t> </w:t>
            </w:r>
          </w:p>
        </w:tc>
        <w:tc>
          <w:tcPr>
            <w:tcW w:w="4294" w:type="dxa"/>
            <w:tcBorders>
              <w:top w:val="single" w:sz="6" w:space="0" w:color="auto"/>
              <w:left w:val="single" w:sz="6" w:space="0" w:color="auto"/>
              <w:bottom w:val="single" w:sz="6" w:space="0" w:color="auto"/>
              <w:right w:val="single" w:sz="6" w:space="0" w:color="auto"/>
            </w:tcBorders>
            <w:hideMark/>
          </w:tcPr>
          <w:p w14:paraId="64760D39" w14:textId="77777777" w:rsidR="001D512D" w:rsidRPr="008E6E86" w:rsidRDefault="001D512D" w:rsidP="001D512D">
            <w:pPr>
              <w:pStyle w:val="BOLDBULLETS"/>
              <w:rPr>
                <w:b w:val="0"/>
                <w:bCs/>
              </w:rPr>
            </w:pPr>
            <w:r w:rsidRPr="008E6E86">
              <w:rPr>
                <w:b w:val="0"/>
                <w:bCs/>
              </w:rPr>
              <w:t>Topical Retinoid (Adapalene/Tretinoin) </w:t>
            </w:r>
          </w:p>
        </w:tc>
        <w:tc>
          <w:tcPr>
            <w:tcW w:w="1110" w:type="dxa"/>
            <w:tcBorders>
              <w:top w:val="single" w:sz="6" w:space="0" w:color="auto"/>
              <w:left w:val="single" w:sz="6" w:space="0" w:color="auto"/>
              <w:bottom w:val="single" w:sz="6" w:space="0" w:color="auto"/>
              <w:right w:val="single" w:sz="6" w:space="0" w:color="auto"/>
            </w:tcBorders>
            <w:hideMark/>
          </w:tcPr>
          <w:p w14:paraId="1FE62797" w14:textId="77777777" w:rsidR="001D512D" w:rsidRPr="008E6E86" w:rsidRDefault="001D512D" w:rsidP="001D512D">
            <w:pPr>
              <w:pStyle w:val="BOLDBULLETS"/>
              <w:rPr>
                <w:b w:val="0"/>
                <w:bCs/>
              </w:rPr>
            </w:pPr>
            <w:r w:rsidRPr="008E6E86">
              <w:rPr>
                <w:b w:val="0"/>
                <w:bCs/>
              </w:rPr>
              <w:t> </w:t>
            </w:r>
          </w:p>
        </w:tc>
        <w:tc>
          <w:tcPr>
            <w:tcW w:w="3686" w:type="dxa"/>
            <w:tcBorders>
              <w:top w:val="single" w:sz="6" w:space="0" w:color="auto"/>
              <w:left w:val="single" w:sz="6" w:space="0" w:color="auto"/>
              <w:bottom w:val="single" w:sz="6" w:space="0" w:color="auto"/>
              <w:right w:val="single" w:sz="6" w:space="0" w:color="auto"/>
            </w:tcBorders>
            <w:hideMark/>
          </w:tcPr>
          <w:p w14:paraId="5B898433" w14:textId="77777777" w:rsidR="001D512D" w:rsidRPr="008E6E86" w:rsidRDefault="001D512D" w:rsidP="001D512D">
            <w:pPr>
              <w:pStyle w:val="BOLDBULLETS"/>
              <w:rPr>
                <w:b w:val="0"/>
                <w:bCs/>
              </w:rPr>
            </w:pPr>
            <w:r w:rsidRPr="008E6E86">
              <w:rPr>
                <w:b w:val="0"/>
                <w:bCs/>
              </w:rPr>
              <w:t> </w:t>
            </w:r>
          </w:p>
        </w:tc>
      </w:tr>
      <w:tr w:rsidR="001D512D" w:rsidRPr="00F6570B" w14:paraId="77235195"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61172A81" w14:textId="77777777" w:rsidR="001D512D" w:rsidRPr="008E6E86" w:rsidRDefault="001D512D" w:rsidP="001D512D">
            <w:pPr>
              <w:pStyle w:val="BOLDBULLETS"/>
              <w:rPr>
                <w:b w:val="0"/>
                <w:bCs/>
              </w:rPr>
            </w:pPr>
            <w:r w:rsidRPr="008E6E86">
              <w:rPr>
                <w:rFonts w:ascii="Segoe UI Symbol" w:hAnsi="Segoe UI Symbol" w:cs="Segoe UI Symbol"/>
                <w:b w:val="0"/>
                <w:bCs/>
              </w:rPr>
              <w:t>☐</w:t>
            </w:r>
            <w:r w:rsidRPr="008E6E86">
              <w:rPr>
                <w:b w:val="0"/>
                <w:bCs/>
              </w:rPr>
              <w:t> </w:t>
            </w:r>
          </w:p>
        </w:tc>
        <w:tc>
          <w:tcPr>
            <w:tcW w:w="4294" w:type="dxa"/>
            <w:tcBorders>
              <w:top w:val="single" w:sz="6" w:space="0" w:color="auto"/>
              <w:left w:val="single" w:sz="6" w:space="0" w:color="auto"/>
              <w:bottom w:val="single" w:sz="6" w:space="0" w:color="auto"/>
              <w:right w:val="single" w:sz="6" w:space="0" w:color="auto"/>
            </w:tcBorders>
            <w:hideMark/>
          </w:tcPr>
          <w:p w14:paraId="50C67D70" w14:textId="77777777" w:rsidR="001D512D" w:rsidRPr="008E6E86" w:rsidRDefault="001D512D" w:rsidP="001D512D">
            <w:pPr>
              <w:pStyle w:val="BOLDBULLETS"/>
              <w:rPr>
                <w:b w:val="0"/>
                <w:bCs/>
              </w:rPr>
            </w:pPr>
            <w:r w:rsidRPr="008E6E86">
              <w:rPr>
                <w:b w:val="0"/>
                <w:bCs/>
              </w:rPr>
              <w:t>Topical Antibiotic (Clindamycin/Erythromycin) </w:t>
            </w:r>
          </w:p>
        </w:tc>
        <w:tc>
          <w:tcPr>
            <w:tcW w:w="1110" w:type="dxa"/>
            <w:tcBorders>
              <w:top w:val="single" w:sz="6" w:space="0" w:color="auto"/>
              <w:left w:val="single" w:sz="6" w:space="0" w:color="auto"/>
              <w:bottom w:val="single" w:sz="6" w:space="0" w:color="auto"/>
              <w:right w:val="single" w:sz="6" w:space="0" w:color="auto"/>
            </w:tcBorders>
            <w:hideMark/>
          </w:tcPr>
          <w:p w14:paraId="69C72513" w14:textId="77777777" w:rsidR="001D512D" w:rsidRPr="008E6E86" w:rsidRDefault="001D512D" w:rsidP="001D512D">
            <w:pPr>
              <w:pStyle w:val="BOLDBULLETS"/>
              <w:rPr>
                <w:b w:val="0"/>
                <w:bCs/>
              </w:rPr>
            </w:pPr>
            <w:r w:rsidRPr="008E6E86">
              <w:rPr>
                <w:b w:val="0"/>
                <w:bCs/>
              </w:rPr>
              <w:t> </w:t>
            </w:r>
          </w:p>
        </w:tc>
        <w:tc>
          <w:tcPr>
            <w:tcW w:w="3686" w:type="dxa"/>
            <w:tcBorders>
              <w:top w:val="single" w:sz="6" w:space="0" w:color="auto"/>
              <w:left w:val="single" w:sz="6" w:space="0" w:color="auto"/>
              <w:bottom w:val="single" w:sz="6" w:space="0" w:color="auto"/>
              <w:right w:val="single" w:sz="6" w:space="0" w:color="auto"/>
            </w:tcBorders>
            <w:hideMark/>
          </w:tcPr>
          <w:p w14:paraId="17E63F9E" w14:textId="77777777" w:rsidR="001D512D" w:rsidRPr="008E6E86" w:rsidRDefault="001D512D" w:rsidP="001D512D">
            <w:pPr>
              <w:pStyle w:val="BOLDBULLETS"/>
              <w:rPr>
                <w:b w:val="0"/>
                <w:bCs/>
              </w:rPr>
            </w:pPr>
            <w:r w:rsidRPr="008E6E86">
              <w:rPr>
                <w:b w:val="0"/>
                <w:bCs/>
              </w:rPr>
              <w:t> </w:t>
            </w:r>
          </w:p>
        </w:tc>
      </w:tr>
      <w:tr w:rsidR="001D512D" w:rsidRPr="00F6570B" w14:paraId="55806F76"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20FDC262" w14:textId="77777777" w:rsidR="001D512D" w:rsidRPr="008E6E86" w:rsidRDefault="001D512D" w:rsidP="001D512D">
            <w:pPr>
              <w:pStyle w:val="BOLDBULLETS"/>
              <w:rPr>
                <w:b w:val="0"/>
                <w:bCs/>
              </w:rPr>
            </w:pPr>
            <w:r w:rsidRPr="008E6E86">
              <w:rPr>
                <w:rFonts w:ascii="Segoe UI Symbol" w:hAnsi="Segoe UI Symbol" w:cs="Segoe UI Symbol"/>
                <w:b w:val="0"/>
                <w:bCs/>
              </w:rPr>
              <w:t>☐</w:t>
            </w:r>
            <w:r w:rsidRPr="008E6E86">
              <w:rPr>
                <w:b w:val="0"/>
                <w:bCs/>
              </w:rPr>
              <w:t> </w:t>
            </w:r>
          </w:p>
        </w:tc>
        <w:tc>
          <w:tcPr>
            <w:tcW w:w="4294" w:type="dxa"/>
            <w:tcBorders>
              <w:top w:val="single" w:sz="6" w:space="0" w:color="auto"/>
              <w:left w:val="single" w:sz="6" w:space="0" w:color="auto"/>
              <w:bottom w:val="single" w:sz="6" w:space="0" w:color="auto"/>
              <w:right w:val="single" w:sz="6" w:space="0" w:color="auto"/>
            </w:tcBorders>
            <w:hideMark/>
          </w:tcPr>
          <w:p w14:paraId="4216E9D1" w14:textId="77777777" w:rsidR="001D512D" w:rsidRPr="008E6E86" w:rsidRDefault="001D512D" w:rsidP="001D512D">
            <w:pPr>
              <w:pStyle w:val="BOLDBULLETS"/>
              <w:rPr>
                <w:b w:val="0"/>
                <w:bCs/>
              </w:rPr>
            </w:pPr>
            <w:r w:rsidRPr="008E6E86">
              <w:rPr>
                <w:b w:val="0"/>
                <w:bCs/>
              </w:rPr>
              <w:t>Oral Antibiotic (Doxycycline/Minocycline) </w:t>
            </w:r>
          </w:p>
        </w:tc>
        <w:tc>
          <w:tcPr>
            <w:tcW w:w="1110" w:type="dxa"/>
            <w:tcBorders>
              <w:top w:val="single" w:sz="6" w:space="0" w:color="auto"/>
              <w:left w:val="single" w:sz="6" w:space="0" w:color="auto"/>
              <w:bottom w:val="single" w:sz="6" w:space="0" w:color="auto"/>
              <w:right w:val="single" w:sz="6" w:space="0" w:color="auto"/>
            </w:tcBorders>
            <w:hideMark/>
          </w:tcPr>
          <w:p w14:paraId="0414C3F5" w14:textId="77777777" w:rsidR="001D512D" w:rsidRPr="008E6E86" w:rsidRDefault="001D512D" w:rsidP="001D512D">
            <w:pPr>
              <w:pStyle w:val="BOLDBULLETS"/>
              <w:rPr>
                <w:b w:val="0"/>
                <w:bCs/>
              </w:rPr>
            </w:pPr>
            <w:r w:rsidRPr="008E6E86">
              <w:rPr>
                <w:b w:val="0"/>
                <w:bCs/>
              </w:rPr>
              <w:t> </w:t>
            </w:r>
          </w:p>
        </w:tc>
        <w:tc>
          <w:tcPr>
            <w:tcW w:w="3686" w:type="dxa"/>
            <w:tcBorders>
              <w:top w:val="single" w:sz="6" w:space="0" w:color="auto"/>
              <w:left w:val="single" w:sz="6" w:space="0" w:color="auto"/>
              <w:bottom w:val="single" w:sz="6" w:space="0" w:color="auto"/>
              <w:right w:val="single" w:sz="6" w:space="0" w:color="auto"/>
            </w:tcBorders>
            <w:hideMark/>
          </w:tcPr>
          <w:p w14:paraId="2BAE36FE" w14:textId="77777777" w:rsidR="001D512D" w:rsidRPr="008E6E86" w:rsidRDefault="001D512D" w:rsidP="001D512D">
            <w:pPr>
              <w:pStyle w:val="BOLDBULLETS"/>
              <w:rPr>
                <w:b w:val="0"/>
                <w:bCs/>
              </w:rPr>
            </w:pPr>
            <w:r w:rsidRPr="008E6E86">
              <w:rPr>
                <w:b w:val="0"/>
                <w:bCs/>
              </w:rPr>
              <w:t> </w:t>
            </w:r>
          </w:p>
        </w:tc>
      </w:tr>
      <w:tr w:rsidR="001D512D" w:rsidRPr="00F6570B" w14:paraId="3E9947A2"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3B40DCC1" w14:textId="77777777" w:rsidR="001D512D" w:rsidRPr="008E6E86" w:rsidRDefault="001D512D" w:rsidP="001D512D">
            <w:pPr>
              <w:pStyle w:val="BOLDBULLETS"/>
              <w:rPr>
                <w:b w:val="0"/>
                <w:bCs/>
              </w:rPr>
            </w:pPr>
            <w:r w:rsidRPr="008E6E86">
              <w:rPr>
                <w:rFonts w:ascii="Segoe UI Symbol" w:hAnsi="Segoe UI Symbol" w:cs="Segoe UI Symbol"/>
                <w:b w:val="0"/>
                <w:bCs/>
              </w:rPr>
              <w:t>☐</w:t>
            </w:r>
            <w:r w:rsidRPr="008E6E86">
              <w:rPr>
                <w:b w:val="0"/>
                <w:bCs/>
              </w:rPr>
              <w:t> </w:t>
            </w:r>
          </w:p>
        </w:tc>
        <w:tc>
          <w:tcPr>
            <w:tcW w:w="4294" w:type="dxa"/>
            <w:tcBorders>
              <w:top w:val="single" w:sz="6" w:space="0" w:color="auto"/>
              <w:left w:val="single" w:sz="6" w:space="0" w:color="auto"/>
              <w:bottom w:val="single" w:sz="6" w:space="0" w:color="auto"/>
              <w:right w:val="single" w:sz="6" w:space="0" w:color="auto"/>
            </w:tcBorders>
            <w:hideMark/>
          </w:tcPr>
          <w:p w14:paraId="4261BE9E" w14:textId="77777777" w:rsidR="001D512D" w:rsidRPr="008E6E86" w:rsidRDefault="001D512D" w:rsidP="001D512D">
            <w:pPr>
              <w:pStyle w:val="BOLDBULLETS"/>
              <w:rPr>
                <w:b w:val="0"/>
                <w:bCs/>
              </w:rPr>
            </w:pPr>
            <w:r w:rsidRPr="008E6E86">
              <w:rPr>
                <w:b w:val="0"/>
                <w:bCs/>
              </w:rPr>
              <w:t>Combination Therapy (Benzoyl Peroxide + Retinoid) </w:t>
            </w:r>
          </w:p>
        </w:tc>
        <w:tc>
          <w:tcPr>
            <w:tcW w:w="1110" w:type="dxa"/>
            <w:tcBorders>
              <w:top w:val="single" w:sz="6" w:space="0" w:color="auto"/>
              <w:left w:val="single" w:sz="6" w:space="0" w:color="auto"/>
              <w:bottom w:val="single" w:sz="6" w:space="0" w:color="auto"/>
              <w:right w:val="single" w:sz="6" w:space="0" w:color="auto"/>
            </w:tcBorders>
            <w:hideMark/>
          </w:tcPr>
          <w:p w14:paraId="3ADA7975" w14:textId="77777777" w:rsidR="001D512D" w:rsidRPr="008E6E86" w:rsidRDefault="001D512D" w:rsidP="001D512D">
            <w:pPr>
              <w:pStyle w:val="BOLDBULLETS"/>
              <w:rPr>
                <w:b w:val="0"/>
                <w:bCs/>
              </w:rPr>
            </w:pPr>
            <w:r w:rsidRPr="008E6E86">
              <w:rPr>
                <w:b w:val="0"/>
                <w:bCs/>
              </w:rPr>
              <w:t> </w:t>
            </w:r>
          </w:p>
        </w:tc>
        <w:tc>
          <w:tcPr>
            <w:tcW w:w="3686" w:type="dxa"/>
            <w:tcBorders>
              <w:top w:val="single" w:sz="6" w:space="0" w:color="auto"/>
              <w:left w:val="single" w:sz="6" w:space="0" w:color="auto"/>
              <w:bottom w:val="single" w:sz="6" w:space="0" w:color="auto"/>
              <w:right w:val="single" w:sz="6" w:space="0" w:color="auto"/>
            </w:tcBorders>
            <w:hideMark/>
          </w:tcPr>
          <w:p w14:paraId="6A7250F9" w14:textId="77777777" w:rsidR="001D512D" w:rsidRPr="008E6E86" w:rsidRDefault="001D512D" w:rsidP="001D512D">
            <w:pPr>
              <w:pStyle w:val="BOLDBULLETS"/>
              <w:rPr>
                <w:b w:val="0"/>
                <w:bCs/>
              </w:rPr>
            </w:pPr>
            <w:r w:rsidRPr="008E6E86">
              <w:rPr>
                <w:b w:val="0"/>
                <w:bCs/>
              </w:rPr>
              <w:t> </w:t>
            </w:r>
          </w:p>
        </w:tc>
      </w:tr>
      <w:tr w:rsidR="001D512D" w:rsidRPr="00F6570B" w14:paraId="1AC942B7" w14:textId="77777777" w:rsidTr="008E6E86">
        <w:trPr>
          <w:trHeight w:val="300"/>
        </w:trPr>
        <w:tc>
          <w:tcPr>
            <w:tcW w:w="1432" w:type="dxa"/>
            <w:tcBorders>
              <w:top w:val="single" w:sz="6" w:space="0" w:color="auto"/>
              <w:left w:val="single" w:sz="6" w:space="0" w:color="auto"/>
              <w:bottom w:val="single" w:sz="6" w:space="0" w:color="auto"/>
              <w:right w:val="single" w:sz="6" w:space="0" w:color="auto"/>
            </w:tcBorders>
            <w:hideMark/>
          </w:tcPr>
          <w:p w14:paraId="195DF044" w14:textId="77777777" w:rsidR="001D512D" w:rsidRPr="008E6E86" w:rsidRDefault="001D512D" w:rsidP="001D512D">
            <w:pPr>
              <w:pStyle w:val="BOLDBULLETS"/>
              <w:rPr>
                <w:b w:val="0"/>
                <w:bCs/>
              </w:rPr>
            </w:pPr>
            <w:r w:rsidRPr="008E6E86">
              <w:rPr>
                <w:rFonts w:ascii="Segoe UI Symbol" w:hAnsi="Segoe UI Symbol" w:cs="Segoe UI Symbol"/>
                <w:b w:val="0"/>
                <w:bCs/>
              </w:rPr>
              <w:t>☐</w:t>
            </w:r>
            <w:r w:rsidRPr="008E6E86">
              <w:rPr>
                <w:b w:val="0"/>
                <w:bCs/>
              </w:rPr>
              <w:t> </w:t>
            </w:r>
          </w:p>
        </w:tc>
        <w:tc>
          <w:tcPr>
            <w:tcW w:w="4294" w:type="dxa"/>
            <w:tcBorders>
              <w:top w:val="single" w:sz="6" w:space="0" w:color="auto"/>
              <w:left w:val="single" w:sz="6" w:space="0" w:color="auto"/>
              <w:bottom w:val="single" w:sz="6" w:space="0" w:color="auto"/>
              <w:right w:val="single" w:sz="6" w:space="0" w:color="auto"/>
            </w:tcBorders>
            <w:hideMark/>
          </w:tcPr>
          <w:p w14:paraId="43D70F15" w14:textId="77777777" w:rsidR="001D512D" w:rsidRPr="008E6E86" w:rsidRDefault="001D512D" w:rsidP="001D512D">
            <w:pPr>
              <w:pStyle w:val="BOLDBULLETS"/>
              <w:rPr>
                <w:b w:val="0"/>
                <w:bCs/>
              </w:rPr>
            </w:pPr>
            <w:r w:rsidRPr="008E6E86">
              <w:rPr>
                <w:b w:val="0"/>
                <w:bCs/>
              </w:rPr>
              <w:t>Other: _____________________________ </w:t>
            </w:r>
          </w:p>
        </w:tc>
        <w:tc>
          <w:tcPr>
            <w:tcW w:w="1110" w:type="dxa"/>
            <w:tcBorders>
              <w:top w:val="single" w:sz="6" w:space="0" w:color="auto"/>
              <w:left w:val="single" w:sz="6" w:space="0" w:color="auto"/>
              <w:bottom w:val="single" w:sz="6" w:space="0" w:color="auto"/>
              <w:right w:val="single" w:sz="6" w:space="0" w:color="auto"/>
            </w:tcBorders>
            <w:hideMark/>
          </w:tcPr>
          <w:p w14:paraId="2C6A832E" w14:textId="77777777" w:rsidR="001D512D" w:rsidRPr="008E6E86" w:rsidRDefault="001D512D" w:rsidP="001D512D">
            <w:pPr>
              <w:pStyle w:val="BOLDBULLETS"/>
              <w:rPr>
                <w:b w:val="0"/>
                <w:bCs/>
              </w:rPr>
            </w:pPr>
            <w:r w:rsidRPr="008E6E86">
              <w:rPr>
                <w:b w:val="0"/>
                <w:bCs/>
              </w:rPr>
              <w:t> </w:t>
            </w:r>
          </w:p>
        </w:tc>
        <w:tc>
          <w:tcPr>
            <w:tcW w:w="3686" w:type="dxa"/>
            <w:tcBorders>
              <w:top w:val="single" w:sz="6" w:space="0" w:color="auto"/>
              <w:left w:val="single" w:sz="6" w:space="0" w:color="auto"/>
              <w:bottom w:val="single" w:sz="6" w:space="0" w:color="auto"/>
              <w:right w:val="single" w:sz="6" w:space="0" w:color="auto"/>
            </w:tcBorders>
            <w:hideMark/>
          </w:tcPr>
          <w:p w14:paraId="0D373A6E" w14:textId="77777777" w:rsidR="001D512D" w:rsidRPr="008E6E86" w:rsidRDefault="001D512D" w:rsidP="001D512D">
            <w:pPr>
              <w:pStyle w:val="BOLDBULLETS"/>
              <w:rPr>
                <w:b w:val="0"/>
                <w:bCs/>
              </w:rPr>
            </w:pPr>
            <w:r w:rsidRPr="008E6E86">
              <w:rPr>
                <w:b w:val="0"/>
                <w:bCs/>
              </w:rPr>
              <w:t> </w:t>
            </w:r>
          </w:p>
        </w:tc>
      </w:tr>
    </w:tbl>
    <w:p w14:paraId="71156FC4" w14:textId="77777777" w:rsidR="00217DC2" w:rsidRDefault="00217DC2" w:rsidP="00F6570B">
      <w:pPr>
        <w:pStyle w:val="BOLDBULLETS"/>
        <w:ind w:left="0" w:firstLine="0"/>
        <w:rPr>
          <w:sz w:val="22"/>
          <w:szCs w:val="22"/>
        </w:rPr>
      </w:pPr>
    </w:p>
    <w:p w14:paraId="2CECE4F2" w14:textId="77777777" w:rsidR="00217DC2" w:rsidRDefault="00217DC2" w:rsidP="00F6570B">
      <w:pPr>
        <w:pStyle w:val="BOLDBULLETS"/>
        <w:ind w:left="0" w:firstLine="0"/>
        <w:rPr>
          <w:sz w:val="22"/>
          <w:szCs w:val="22"/>
        </w:rPr>
      </w:pPr>
    </w:p>
    <w:p w14:paraId="0C9F6AEB" w14:textId="77777777" w:rsidR="00217DC2" w:rsidRDefault="00217DC2" w:rsidP="00F6570B">
      <w:pPr>
        <w:pStyle w:val="BOLDBULLETS"/>
        <w:ind w:left="0" w:firstLine="0"/>
        <w:rPr>
          <w:sz w:val="22"/>
          <w:szCs w:val="22"/>
        </w:rPr>
      </w:pPr>
    </w:p>
    <w:p w14:paraId="4B434EA6" w14:textId="77777777" w:rsidR="001A76D8" w:rsidRDefault="001A76D8" w:rsidP="00F6570B">
      <w:pPr>
        <w:pStyle w:val="BOLDBULLETS"/>
        <w:ind w:left="0" w:firstLine="0"/>
        <w:rPr>
          <w:sz w:val="22"/>
          <w:szCs w:val="22"/>
        </w:rPr>
      </w:pPr>
    </w:p>
    <w:p w14:paraId="62F543C5" w14:textId="5FB203A9" w:rsidR="00BB29C5" w:rsidRPr="00F6570B" w:rsidRDefault="00BB29C5" w:rsidP="00895213">
      <w:pPr>
        <w:pStyle w:val="BOLDBULLETS"/>
        <w:spacing w:before="0"/>
        <w:ind w:left="0" w:firstLine="0"/>
        <w:rPr>
          <w:sz w:val="22"/>
          <w:szCs w:val="22"/>
        </w:rPr>
      </w:pPr>
      <w:r w:rsidRPr="00F6570B">
        <w:rPr>
          <w:sz w:val="22"/>
          <w:szCs w:val="22"/>
        </w:rPr>
        <w:lastRenderedPageBreak/>
        <w:t>Rationale for Treatment</w:t>
      </w:r>
    </w:p>
    <w:p w14:paraId="46940D4D" w14:textId="77777777" w:rsidR="00BB29C5" w:rsidRPr="00F6570B" w:rsidRDefault="00BB29C5" w:rsidP="00895213">
      <w:pPr>
        <w:pStyle w:val="BOLDBULLETS"/>
        <w:spacing w:before="0"/>
        <w:rPr>
          <w:b w:val="0"/>
          <w:bCs/>
          <w:sz w:val="22"/>
          <w:szCs w:val="22"/>
        </w:rPr>
      </w:pPr>
    </w:p>
    <w:p w14:paraId="2BA2CF1F" w14:textId="07FFAE92" w:rsidR="00C80976" w:rsidRPr="00F6570B" w:rsidRDefault="00BB29C5" w:rsidP="00895213">
      <w:pPr>
        <w:spacing w:line="240" w:lineRule="auto"/>
        <w:rPr>
          <w:rFonts w:ascii="Arial" w:hAnsi="Arial" w:cs="Arial"/>
        </w:rPr>
      </w:pPr>
      <w:r w:rsidRPr="00F6570B">
        <w:rPr>
          <w:rFonts w:ascii="Arial" w:hAnsi="Arial" w:cs="Arial"/>
        </w:rPr>
        <w:t>[Insert summary statement for rationale for treatment such as:</w:t>
      </w:r>
      <w:r w:rsidR="009409D4" w:rsidRPr="00F6570B">
        <w:rPr>
          <w:rFonts w:ascii="Arial" w:hAnsi="Arial" w:cs="Arial"/>
        </w:rPr>
        <w:t>]</w:t>
      </w:r>
    </w:p>
    <w:p w14:paraId="27255953" w14:textId="16DED52F" w:rsidR="00BB29C5" w:rsidRDefault="009409D4" w:rsidP="00F71BE2">
      <w:pPr>
        <w:rPr>
          <w:rFonts w:ascii="Arial" w:hAnsi="Arial" w:cs="Arial"/>
        </w:rPr>
      </w:pPr>
      <w:r w:rsidRPr="00FB1E13">
        <w:rPr>
          <w:rFonts w:ascii="Arial" w:hAnsi="Arial" w:cs="Arial"/>
        </w:rPr>
        <w:t>Given</w:t>
      </w:r>
      <w:r w:rsidR="00390E68" w:rsidRPr="00FB1E13">
        <w:rPr>
          <w:rFonts w:ascii="Arial" w:hAnsi="Arial" w:cs="Arial"/>
        </w:rPr>
        <w:t xml:space="preserve"> the patient's diagnosis and prior treatment history, I respectfully request approval of</w:t>
      </w:r>
      <w:r w:rsidRPr="00FB1E13">
        <w:rPr>
          <w:rFonts w:ascii="Arial" w:hAnsi="Arial" w:cs="Arial"/>
        </w:rPr>
        <w:t xml:space="preserve"> CABTREO</w:t>
      </w:r>
      <w:r w:rsidR="00390E68" w:rsidRPr="00FB1E13">
        <w:rPr>
          <w:rFonts w:ascii="Arial" w:hAnsi="Arial" w:cs="Arial"/>
        </w:rPr>
        <w:t>. This therapy is medically necessary and represents an appropriate treatment option for managing the patient's acne vulgaris.</w:t>
      </w:r>
      <w:r w:rsidR="00BB29C5" w:rsidRPr="00F6570B">
        <w:rPr>
          <w:rFonts w:ascii="Arial" w:hAnsi="Arial" w:cs="Arial"/>
        </w:rPr>
        <w:tab/>
      </w:r>
    </w:p>
    <w:p w14:paraId="50E73558" w14:textId="7DA5222B" w:rsidR="00C2623B" w:rsidRPr="00C2623B" w:rsidRDefault="00C2623B" w:rsidP="00C2623B">
      <w:pPr>
        <w:rPr>
          <w:rFonts w:ascii="Arial" w:hAnsi="Arial" w:cs="Arial"/>
        </w:rPr>
      </w:pPr>
      <w:r>
        <w:rPr>
          <w:rFonts w:ascii="Arial" w:hAnsi="Arial" w:cs="Arial"/>
        </w:rPr>
        <w:t>[</w:t>
      </w:r>
      <w:r w:rsidRPr="00C2623B">
        <w:rPr>
          <w:rFonts w:ascii="Arial" w:hAnsi="Arial" w:cs="Arial"/>
        </w:rPr>
        <w:t xml:space="preserve">You may consider including documents that provide additional clinical information to support the recommendation for </w:t>
      </w:r>
      <w:r w:rsidR="00146442">
        <w:rPr>
          <w:rFonts w:ascii="Arial" w:hAnsi="Arial" w:cs="Arial"/>
        </w:rPr>
        <w:t>CABTREO</w:t>
      </w:r>
      <w:r w:rsidRPr="00C2623B">
        <w:rPr>
          <w:rFonts w:ascii="Arial" w:hAnsi="Arial" w:cs="Arial"/>
        </w:rPr>
        <w:t xml:space="preserve"> for this patient, such as the full Prescribing Information, peer-reviewed journal articles, or clinical guidelines. See below for a short list of supporting publications.</w:t>
      </w:r>
      <w:r>
        <w:rPr>
          <w:rFonts w:ascii="Arial" w:hAnsi="Arial" w:cs="Arial"/>
        </w:rPr>
        <w:t>]</w:t>
      </w:r>
      <w:r w:rsidRPr="00C2623B">
        <w:rPr>
          <w:rFonts w:ascii="Arial" w:hAnsi="Arial" w:cs="Arial"/>
        </w:rPr>
        <w:t xml:space="preserve"> </w:t>
      </w:r>
    </w:p>
    <w:p w14:paraId="60B63CAB" w14:textId="35DFD663" w:rsidR="00C2623B" w:rsidRPr="00F6570B" w:rsidRDefault="00C2623B" w:rsidP="00C2623B">
      <w:pPr>
        <w:rPr>
          <w:rFonts w:ascii="Arial" w:hAnsi="Arial" w:cs="Arial"/>
        </w:rPr>
      </w:pPr>
      <w:r w:rsidRPr="00C2623B">
        <w:rPr>
          <w:rFonts w:ascii="Arial" w:hAnsi="Arial" w:cs="Arial"/>
        </w:rPr>
        <w:t>[Given the urgent nature of this request,] please provide a timely authorization. Contact my office at [Insert Phone Number] if I can provide you with any additional information.</w:t>
      </w:r>
    </w:p>
    <w:p w14:paraId="1A70CEB2" w14:textId="77777777" w:rsidR="00BB29C5" w:rsidRPr="00F6570B" w:rsidRDefault="00BB29C5" w:rsidP="00BB29C5">
      <w:pPr>
        <w:pStyle w:val="BOLDBULLETS"/>
        <w:rPr>
          <w:b w:val="0"/>
          <w:bCs/>
          <w:sz w:val="22"/>
          <w:szCs w:val="22"/>
        </w:rPr>
      </w:pPr>
      <w:r w:rsidRPr="00F6570B">
        <w:rPr>
          <w:b w:val="0"/>
          <w:bCs/>
          <w:sz w:val="22"/>
          <w:szCs w:val="22"/>
        </w:rPr>
        <w:t>Sincerely,</w:t>
      </w:r>
    </w:p>
    <w:p w14:paraId="74B6340A" w14:textId="3C17F3B5" w:rsidR="00BB29C5" w:rsidRPr="00F6570B" w:rsidRDefault="00BB29C5" w:rsidP="00BB29C5">
      <w:pPr>
        <w:pStyle w:val="BOLDBULLETS"/>
        <w:rPr>
          <w:b w:val="0"/>
          <w:bCs/>
          <w:sz w:val="22"/>
          <w:szCs w:val="22"/>
        </w:rPr>
      </w:pPr>
      <w:r w:rsidRPr="00F6570B">
        <w:rPr>
          <w:b w:val="0"/>
          <w:bCs/>
          <w:sz w:val="22"/>
          <w:szCs w:val="22"/>
        </w:rPr>
        <w:t xml:space="preserve">[Insert Healthcare Provider’s Name and </w:t>
      </w:r>
      <w:r w:rsidR="00F71BE2" w:rsidRPr="00F6570B">
        <w:rPr>
          <w:b w:val="0"/>
          <w:bCs/>
          <w:sz w:val="22"/>
          <w:szCs w:val="22"/>
        </w:rPr>
        <w:t>Phone Number</w:t>
      </w:r>
      <w:r w:rsidRPr="00F6570B">
        <w:rPr>
          <w:b w:val="0"/>
          <w:bCs/>
          <w:sz w:val="22"/>
          <w:szCs w:val="22"/>
        </w:rPr>
        <w:t xml:space="preserve">] </w:t>
      </w:r>
    </w:p>
    <w:p w14:paraId="584A98F6" w14:textId="77777777" w:rsidR="00C2623B" w:rsidRDefault="00C2623B" w:rsidP="00E26852">
      <w:pPr>
        <w:pStyle w:val="BOLDBULLETS"/>
        <w:ind w:left="0" w:firstLine="0"/>
        <w:rPr>
          <w:rFonts w:ascii="Segoe UI Symbol" w:hAnsi="Segoe UI Symbol" w:cs="Segoe UI Symbol"/>
          <w:sz w:val="22"/>
          <w:szCs w:val="22"/>
        </w:rPr>
      </w:pPr>
    </w:p>
    <w:p w14:paraId="0CF75860" w14:textId="57E084DC" w:rsidR="00BB29C5" w:rsidRPr="00F6570B" w:rsidRDefault="00BB29C5" w:rsidP="00BB29C5">
      <w:pPr>
        <w:pStyle w:val="BOLDBULLETS"/>
        <w:rPr>
          <w:b w:val="0"/>
          <w:bCs/>
          <w:sz w:val="22"/>
          <w:szCs w:val="22"/>
        </w:rPr>
      </w:pPr>
      <w:r w:rsidRPr="00F6570B">
        <w:rPr>
          <w:rFonts w:ascii="Segoe UI Symbol" w:hAnsi="Segoe UI Symbol" w:cs="Segoe UI Symbol"/>
          <w:sz w:val="22"/>
          <w:szCs w:val="22"/>
        </w:rPr>
        <w:t>☐</w:t>
      </w:r>
      <w:r w:rsidRPr="00F6570B">
        <w:rPr>
          <w:b w:val="0"/>
          <w:bCs/>
          <w:sz w:val="22"/>
          <w:szCs w:val="22"/>
        </w:rPr>
        <w:t xml:space="preserve"> If this request is denied, I am requesting an expedited exception review by a professional in my specialty.</w:t>
      </w:r>
    </w:p>
    <w:p w14:paraId="643F6AA3" w14:textId="77777777" w:rsidR="00BC3DE9" w:rsidRPr="00F6570B" w:rsidRDefault="00BC3DE9" w:rsidP="00BB29C5">
      <w:pPr>
        <w:pStyle w:val="BOLDBULLETS"/>
        <w:rPr>
          <w:b w:val="0"/>
          <w:bCs/>
          <w:sz w:val="22"/>
          <w:szCs w:val="22"/>
        </w:rPr>
      </w:pPr>
    </w:p>
    <w:p w14:paraId="5FA859D6" w14:textId="7465E3AC" w:rsidR="004E7DF4" w:rsidRDefault="00BB29C5" w:rsidP="00C2623B">
      <w:pPr>
        <w:pStyle w:val="BOLDBULLETS"/>
        <w:rPr>
          <w:b w:val="0"/>
          <w:bCs/>
          <w:sz w:val="22"/>
          <w:szCs w:val="22"/>
        </w:rPr>
      </w:pPr>
      <w:r w:rsidRPr="00F6570B">
        <w:rPr>
          <w:b w:val="0"/>
          <w:bCs/>
          <w:sz w:val="22"/>
          <w:szCs w:val="22"/>
        </w:rPr>
        <w:t>Enclosures [Include full Prescribing Information and the additional support noted above</w:t>
      </w:r>
      <w:r w:rsidR="007928B8" w:rsidRPr="00F6570B">
        <w:rPr>
          <w:b w:val="0"/>
          <w:bCs/>
          <w:sz w:val="22"/>
          <w:szCs w:val="22"/>
        </w:rPr>
        <w:t>, including medical records, photos, if applicable.</w:t>
      </w:r>
      <w:r w:rsidRPr="00F6570B">
        <w:rPr>
          <w:b w:val="0"/>
          <w:bCs/>
          <w:sz w:val="22"/>
          <w:szCs w:val="22"/>
        </w:rPr>
        <w:t>]</w:t>
      </w:r>
    </w:p>
    <w:p w14:paraId="2EACBAFD" w14:textId="77777777" w:rsidR="00C2623B" w:rsidRPr="00C2623B" w:rsidRDefault="00C2623B" w:rsidP="00C2623B">
      <w:pPr>
        <w:pStyle w:val="BOLDBULLETS"/>
        <w:rPr>
          <w:b w:val="0"/>
          <w:bCs/>
          <w:sz w:val="22"/>
          <w:szCs w:val="22"/>
        </w:rPr>
      </w:pPr>
    </w:p>
    <w:p w14:paraId="1F5ACC82" w14:textId="6BFDC251" w:rsidR="00E8442D" w:rsidRPr="003525CF" w:rsidRDefault="00476DE2" w:rsidP="00E8442D">
      <w:pPr>
        <w:pStyle w:val="BOLDTEXT"/>
        <w:rPr>
          <w:color w:val="auto"/>
          <w:szCs w:val="20"/>
        </w:rPr>
      </w:pPr>
      <w:hyperlink r:id="rId11" w:history="1">
        <w:r w:rsidR="00E8442D" w:rsidRPr="00476DE2">
          <w:rPr>
            <w:rStyle w:val="Hyperlink"/>
            <w:szCs w:val="20"/>
          </w:rPr>
          <w:t>Click here</w:t>
        </w:r>
      </w:hyperlink>
      <w:r w:rsidR="00E8442D" w:rsidRPr="003525CF">
        <w:rPr>
          <w:color w:val="auto"/>
          <w:szCs w:val="20"/>
        </w:rPr>
        <w:t xml:space="preserve"> for full Prescribing Information or call Bausch Health Medical Information at (877) 361-2719 to request that it be faxed, emailed or mailed instead.</w:t>
      </w:r>
    </w:p>
    <w:p w14:paraId="4988DB36" w14:textId="57257804" w:rsidR="00450A31" w:rsidRPr="001C6620" w:rsidRDefault="00450A31" w:rsidP="00450A31">
      <w:pPr>
        <w:pStyle w:val="BOLDTEXT"/>
        <w:rPr>
          <w:i/>
          <w:iCs/>
        </w:rPr>
      </w:pPr>
      <w:r w:rsidRPr="001C6620">
        <w:rPr>
          <w:i/>
          <w:iCs/>
        </w:rPr>
        <w:t xml:space="preserve">For your convenience, below is a short list of peer-reviewed literature that you may consider including with your medical necessity letter, as supporting evidence given the appropriate patient case. The literature below </w:t>
      </w:r>
      <w:r w:rsidR="00381287" w:rsidRPr="001C6620">
        <w:rPr>
          <w:i/>
          <w:iCs/>
        </w:rPr>
        <w:t>describes</w:t>
      </w:r>
      <w:r w:rsidRPr="001C6620">
        <w:rPr>
          <w:i/>
          <w:iCs/>
        </w:rPr>
        <w:t xml:space="preserve"> data that is consistent with </w:t>
      </w:r>
      <w:r w:rsidR="00381287" w:rsidRPr="001C6620">
        <w:rPr>
          <w:i/>
          <w:iCs/>
        </w:rPr>
        <w:t>the FDA-required</w:t>
      </w:r>
      <w:r w:rsidRPr="001C6620">
        <w:rPr>
          <w:i/>
          <w:iCs/>
        </w:rPr>
        <w:t xml:space="preserve"> label and supplemental to the data described from pivotal phase 3 trials in the prescribing information.</w:t>
      </w:r>
    </w:p>
    <w:p w14:paraId="119052F2" w14:textId="7FD12531" w:rsidR="00E8442D" w:rsidRDefault="00450A31" w:rsidP="00450A31">
      <w:pPr>
        <w:pStyle w:val="BOLDTEXT"/>
      </w:pPr>
      <w:r w:rsidRPr="00450A31">
        <w:rPr>
          <w:rFonts w:ascii="Segoe UI Symbol" w:hAnsi="Segoe UI Symbol" w:cs="Segoe UI Symbol"/>
        </w:rPr>
        <w:t>☐</w:t>
      </w:r>
      <w:r w:rsidRPr="00450A31">
        <w:t xml:space="preserve"> Clinical efficacy and safety in pivotal trials</w:t>
      </w:r>
      <w:r w:rsidRPr="00E8442D">
        <w:rPr>
          <w:vertAlign w:val="superscript"/>
        </w:rPr>
        <w:t>1,2</w:t>
      </w:r>
    </w:p>
    <w:p w14:paraId="37F941CF" w14:textId="4160A90C" w:rsidR="00450A31" w:rsidRPr="00E8442D" w:rsidRDefault="00450A31" w:rsidP="00E8442D">
      <w:pPr>
        <w:pStyle w:val="BOLDTEXT"/>
        <w:numPr>
          <w:ilvl w:val="0"/>
          <w:numId w:val="16"/>
        </w:numPr>
      </w:pPr>
      <w:r w:rsidRPr="00300181">
        <w:rPr>
          <w:b w:val="0"/>
          <w:bCs w:val="0"/>
        </w:rPr>
        <w:t>The efficacy of CABTREO was evaluated in two multicenter, randomized, double-blind clinical trials (Trial 1 and Trial 2, NCT04214639 and 2 NCT04214652, respectively) in 363 adult and pediatric subjects 10 years of age and older with facial acne vulgaris. While subjects aged 10 to less than 12 years were included in these trials, CABTREO is not approved for use in patients less than 12 years of age. Subjects were randomized 2:1 to receive CABTREO or vehicle applied once daily for 12 weeks.</w:t>
      </w:r>
    </w:p>
    <w:p w14:paraId="705E622F" w14:textId="1A674D85" w:rsidR="00450A31" w:rsidRPr="00300181" w:rsidRDefault="00450A31" w:rsidP="00E8442D">
      <w:pPr>
        <w:pStyle w:val="BOLDTEXT"/>
        <w:numPr>
          <w:ilvl w:val="0"/>
          <w:numId w:val="16"/>
        </w:numPr>
        <w:rPr>
          <w:b w:val="0"/>
          <w:bCs w:val="0"/>
        </w:rPr>
      </w:pPr>
      <w:r w:rsidRPr="00300181">
        <w:rPr>
          <w:b w:val="0"/>
          <w:bCs w:val="0"/>
        </w:rPr>
        <w:t>The trial population included 74% White, 15% Black or African American, 7% Asian, 4% Other, and &lt;1% Native Hawaiian or Other Pacific Islander; for ethnicity, 78% identified as non-Hispanic/Latino and 22% identified as Hispanic/Latino. Fifty-eight percent were female</w:t>
      </w:r>
      <w:r w:rsidR="00300181" w:rsidRPr="00300181">
        <w:rPr>
          <w:b w:val="0"/>
          <w:bCs w:val="0"/>
        </w:rPr>
        <w:t>,</w:t>
      </w:r>
      <w:r w:rsidRPr="00300181">
        <w:rPr>
          <w:b w:val="0"/>
          <w:bCs w:val="0"/>
        </w:rPr>
        <w:t xml:space="preserve"> and 42% were male. The median age of the trial population was 18 years (range: 10 to 48 years). Enrolled subjects had a score of moderate (3) or severe (4) on the Evaluator’s Global Severity Score (EGSS), 30 to 100 inflammatory lesions (papules, pustules, and nodules), 35 to 150 non-inflammatory lesions (open and closed </w:t>
      </w:r>
      <w:proofErr w:type="spellStart"/>
      <w:r w:rsidRPr="00300181">
        <w:rPr>
          <w:b w:val="0"/>
          <w:bCs w:val="0"/>
        </w:rPr>
        <w:t>comedones</w:t>
      </w:r>
      <w:proofErr w:type="spellEnd"/>
      <w:r w:rsidRPr="00300181">
        <w:rPr>
          <w:b w:val="0"/>
          <w:bCs w:val="0"/>
        </w:rPr>
        <w:t>)</w:t>
      </w:r>
      <w:r w:rsidR="00AA0CE2">
        <w:rPr>
          <w:b w:val="0"/>
          <w:bCs w:val="0"/>
        </w:rPr>
        <w:t>,</w:t>
      </w:r>
      <w:r w:rsidRPr="00300181">
        <w:rPr>
          <w:b w:val="0"/>
          <w:bCs w:val="0"/>
        </w:rPr>
        <w:t xml:space="preserve"> and two or fewer facial nodules. At baseline, most subjects (91%) had EGSS scores that equated to moderate acne. The co-primary efficacy endpoints of success on the EGSS, absolute change in </w:t>
      </w:r>
      <w:r w:rsidR="00AA0CE2">
        <w:rPr>
          <w:b w:val="0"/>
          <w:bCs w:val="0"/>
        </w:rPr>
        <w:t>non-inflammatory</w:t>
      </w:r>
      <w:r w:rsidRPr="00300181">
        <w:rPr>
          <w:b w:val="0"/>
          <w:bCs w:val="0"/>
        </w:rPr>
        <w:t xml:space="preserve"> lesion count, and absolute change in inflammatory lesion count were assessed at Week 12. Success on the EGSS was defined as at least a 2-grade improvement from baseline and an EGSS score of clear (0) or almost clear (1).</w:t>
      </w:r>
    </w:p>
    <w:p w14:paraId="6FE9A9EB" w14:textId="4894017B" w:rsidR="00450A31" w:rsidRPr="00300181" w:rsidRDefault="00450A31" w:rsidP="00E8442D">
      <w:pPr>
        <w:pStyle w:val="BOLDTEXT"/>
        <w:numPr>
          <w:ilvl w:val="0"/>
          <w:numId w:val="16"/>
        </w:numPr>
        <w:rPr>
          <w:b w:val="0"/>
          <w:bCs w:val="0"/>
        </w:rPr>
      </w:pPr>
      <w:r w:rsidRPr="00300181">
        <w:rPr>
          <w:b w:val="0"/>
          <w:bCs w:val="0"/>
        </w:rPr>
        <w:t>In both studies</w:t>
      </w:r>
      <w:r w:rsidR="00300181" w:rsidRPr="00300181">
        <w:rPr>
          <w:b w:val="0"/>
          <w:bCs w:val="0"/>
        </w:rPr>
        <w:t>,</w:t>
      </w:r>
      <w:r w:rsidRPr="00300181">
        <w:rPr>
          <w:b w:val="0"/>
          <w:bCs w:val="0"/>
        </w:rPr>
        <w:t xml:space="preserve"> the coprimary endpoints were met, and CABTREO was superior to vehicle gel on all efficacy assessments at week 12. Treatment success was achieved by 49.6% and 50.5% of participants with CABTREO versus vehicle (24.9% and 20.5%, studies 1 and 2, respectively; P &lt; 0.01, both). CABTREO</w:t>
      </w:r>
      <w:r w:rsidR="007D75C7">
        <w:rPr>
          <w:b w:val="0"/>
          <w:bCs w:val="0"/>
        </w:rPr>
        <w:br/>
      </w:r>
      <w:r w:rsidRPr="00300181">
        <w:rPr>
          <w:b w:val="0"/>
          <w:bCs w:val="0"/>
        </w:rPr>
        <w:t xml:space="preserve">also demonstrated significantly greater least-squares mean percent changes in inflammatory and </w:t>
      </w:r>
      <w:r w:rsidR="007D75C7">
        <w:rPr>
          <w:b w:val="0"/>
          <w:bCs w:val="0"/>
        </w:rPr>
        <w:br/>
      </w:r>
      <w:r w:rsidR="00AA0CE2" w:rsidRPr="00300181">
        <w:rPr>
          <w:b w:val="0"/>
          <w:bCs w:val="0"/>
        </w:rPr>
        <w:t>non-inflammatory</w:t>
      </w:r>
      <w:r w:rsidRPr="00300181">
        <w:rPr>
          <w:b w:val="0"/>
          <w:bCs w:val="0"/>
        </w:rPr>
        <w:t xml:space="preserve"> lesions versus vehicle gel (P &lt; 0.001, all), with reductions over 72% achieved by week 12. </w:t>
      </w:r>
      <w:r w:rsidR="001E2EF1">
        <w:rPr>
          <w:b w:val="0"/>
          <w:bCs w:val="0"/>
        </w:rPr>
        <w:t>Some</w:t>
      </w:r>
      <w:r w:rsidRPr="00300181">
        <w:rPr>
          <w:b w:val="0"/>
          <w:bCs w:val="0"/>
        </w:rPr>
        <w:t xml:space="preserve"> changes in lesion reduction </w:t>
      </w:r>
      <w:r w:rsidR="001E2EF1">
        <w:rPr>
          <w:b w:val="0"/>
          <w:bCs w:val="0"/>
        </w:rPr>
        <w:t>was</w:t>
      </w:r>
      <w:r w:rsidRPr="00300181">
        <w:rPr>
          <w:b w:val="0"/>
          <w:bCs w:val="0"/>
        </w:rPr>
        <w:t xml:space="preserve"> </w:t>
      </w:r>
      <w:r w:rsidR="005229FD">
        <w:rPr>
          <w:b w:val="0"/>
          <w:bCs w:val="0"/>
        </w:rPr>
        <w:t>seen</w:t>
      </w:r>
      <w:r w:rsidRPr="00300181">
        <w:rPr>
          <w:b w:val="0"/>
          <w:bCs w:val="0"/>
        </w:rPr>
        <w:t xml:space="preserve"> with CABTREO as early as week 4.</w:t>
      </w:r>
    </w:p>
    <w:p w14:paraId="4D680949" w14:textId="0F7D33DD" w:rsidR="00E8442D" w:rsidRPr="00E8442D" w:rsidRDefault="00450A31" w:rsidP="00450A31">
      <w:pPr>
        <w:pStyle w:val="BOLDTEXT"/>
        <w:numPr>
          <w:ilvl w:val="0"/>
          <w:numId w:val="16"/>
        </w:numPr>
        <w:rPr>
          <w:b w:val="0"/>
          <w:bCs w:val="0"/>
        </w:rPr>
      </w:pPr>
      <w:r w:rsidRPr="00300181">
        <w:rPr>
          <w:b w:val="0"/>
          <w:bCs w:val="0"/>
        </w:rPr>
        <w:lastRenderedPageBreak/>
        <w:t xml:space="preserve">A greater proportion of patients in the CABTREO group reported </w:t>
      </w:r>
      <w:r w:rsidR="00AA0CE2">
        <w:rPr>
          <w:b w:val="0"/>
          <w:bCs w:val="0"/>
        </w:rPr>
        <w:t>treatment-emergent</w:t>
      </w:r>
      <w:r w:rsidRPr="00300181">
        <w:rPr>
          <w:b w:val="0"/>
          <w:bCs w:val="0"/>
        </w:rPr>
        <w:t xml:space="preserve"> adverse events (TEAEs) versus vehicle. Most TEAEs were mild to moderate in severity, and there were no serious AEs. Mean cutaneous safety and tolerability scores for CABTREO were all mild, with scores less than 1.</w:t>
      </w:r>
    </w:p>
    <w:p w14:paraId="1B5641CA" w14:textId="499C0201" w:rsidR="00450A31" w:rsidRPr="00300181" w:rsidRDefault="00450A31" w:rsidP="00450A31">
      <w:pPr>
        <w:pStyle w:val="BOLDTEXT"/>
        <w:rPr>
          <w:b w:val="0"/>
          <w:bCs w:val="0"/>
        </w:rPr>
      </w:pPr>
      <w:r w:rsidRPr="00300181">
        <w:rPr>
          <w:b w:val="0"/>
          <w:bCs w:val="0"/>
        </w:rPr>
        <w:t>Please see full articles for more information:</w:t>
      </w:r>
    </w:p>
    <w:p w14:paraId="5726A465" w14:textId="77777777" w:rsidR="00450A31" w:rsidRPr="00300181" w:rsidRDefault="00450A31" w:rsidP="00450A31">
      <w:pPr>
        <w:pStyle w:val="BOLDTEXT"/>
        <w:rPr>
          <w:b w:val="0"/>
          <w:bCs w:val="0"/>
        </w:rPr>
      </w:pPr>
      <w:r w:rsidRPr="00300181">
        <w:rPr>
          <w:b w:val="0"/>
          <w:bCs w:val="0"/>
        </w:rPr>
        <w:t>1. Stein Gold L, Lain E, Del Rosso JQ, et al. Clindamycin phosphate 1.2%/adapalene 0.15%/benzoyl peroxide 3.1% gel for moderate-to-severe acne: Efficacy and safety results from two randomized phase 3 trials. J Am Acad Dermatol. 2023;89(5):927-935</w:t>
      </w:r>
    </w:p>
    <w:p w14:paraId="326B0865" w14:textId="75CBBDEA" w:rsidR="00146442" w:rsidRPr="001408CD" w:rsidRDefault="00450A31" w:rsidP="00450A31">
      <w:pPr>
        <w:pStyle w:val="BOLDTEXT"/>
        <w:rPr>
          <w:b w:val="0"/>
          <w:bCs w:val="0"/>
        </w:rPr>
      </w:pPr>
      <w:r w:rsidRPr="00300181">
        <w:rPr>
          <w:b w:val="0"/>
          <w:bCs w:val="0"/>
        </w:rPr>
        <w:t>2. CABTREO (clindamycin phosphate, adapalene and benzoyl peroxide) Topical Gel 1.2%/0.15%/3.1% [prescribing information]. Bridgewater, NJ. Bausch Health US, LLC.</w:t>
      </w:r>
    </w:p>
    <w:p w14:paraId="09F02B97" w14:textId="77777777" w:rsidR="001408CD" w:rsidRDefault="001408CD" w:rsidP="00450A31">
      <w:pPr>
        <w:pStyle w:val="BOLDTEXT"/>
        <w:rPr>
          <w:rFonts w:ascii="Segoe UI Symbol" w:hAnsi="Segoe UI Symbol" w:cs="Segoe UI Symbol"/>
        </w:rPr>
      </w:pPr>
    </w:p>
    <w:p w14:paraId="6C43E165" w14:textId="2441C35A" w:rsidR="00450A31" w:rsidRPr="00450A31" w:rsidRDefault="00450A31" w:rsidP="00450A31">
      <w:pPr>
        <w:pStyle w:val="BOLDTEXT"/>
      </w:pPr>
      <w:r w:rsidRPr="00450A31">
        <w:rPr>
          <w:rFonts w:ascii="Segoe UI Symbol" w:hAnsi="Segoe UI Symbol" w:cs="Segoe UI Symbol"/>
        </w:rPr>
        <w:t>☐</w:t>
      </w:r>
      <w:r w:rsidRPr="00450A31">
        <w:t xml:space="preserve"> Mechanism of Action</w:t>
      </w:r>
    </w:p>
    <w:p w14:paraId="032AD03D" w14:textId="513B5D68" w:rsidR="00450A31" w:rsidRPr="00300181" w:rsidRDefault="00450A31" w:rsidP="00450A31">
      <w:pPr>
        <w:pStyle w:val="BOLDTEXT"/>
        <w:rPr>
          <w:b w:val="0"/>
          <w:bCs w:val="0"/>
        </w:rPr>
      </w:pPr>
      <w:r w:rsidRPr="00300181">
        <w:rPr>
          <w:b w:val="0"/>
          <w:bCs w:val="0"/>
        </w:rPr>
        <w:t>CABTREO (clindamycin phosphate 1.2%, adapalene 0.15%, and benzoyl peroxide 3.1%) delivers a multi-targeted approach to the treatment of acne vulgaris by combining three well-established active agents with distinct and complementary mechanisms of action:</w:t>
      </w:r>
      <w:r w:rsidRPr="00E8442D">
        <w:rPr>
          <w:b w:val="0"/>
          <w:bCs w:val="0"/>
          <w:vertAlign w:val="superscript"/>
        </w:rPr>
        <w:t>1</w:t>
      </w:r>
    </w:p>
    <w:p w14:paraId="1C836C6F" w14:textId="36EE6BE1" w:rsidR="00450A31" w:rsidRPr="00300181" w:rsidRDefault="00450A31" w:rsidP="00E8442D">
      <w:pPr>
        <w:pStyle w:val="BOLDTEXT"/>
        <w:numPr>
          <w:ilvl w:val="0"/>
          <w:numId w:val="17"/>
        </w:numPr>
        <w:rPr>
          <w:b w:val="0"/>
          <w:bCs w:val="0"/>
        </w:rPr>
      </w:pPr>
      <w:r w:rsidRPr="00300181">
        <w:rPr>
          <w:b w:val="0"/>
          <w:bCs w:val="0"/>
        </w:rPr>
        <w:t xml:space="preserve">Clindamycin, a </w:t>
      </w:r>
      <w:proofErr w:type="spellStart"/>
      <w:r w:rsidRPr="00300181">
        <w:rPr>
          <w:b w:val="0"/>
          <w:bCs w:val="0"/>
        </w:rPr>
        <w:t>lincosamide</w:t>
      </w:r>
      <w:proofErr w:type="spellEnd"/>
      <w:r w:rsidRPr="00300181">
        <w:rPr>
          <w:b w:val="0"/>
          <w:bCs w:val="0"/>
        </w:rPr>
        <w:t xml:space="preserve"> antibiotic, inhibits bacterial protein synthesis by binding to the 50S ribosomal subunit of </w:t>
      </w:r>
      <w:proofErr w:type="spellStart"/>
      <w:r w:rsidRPr="00300181">
        <w:rPr>
          <w:b w:val="0"/>
          <w:bCs w:val="0"/>
        </w:rPr>
        <w:t>Cutibacterium</w:t>
      </w:r>
      <w:proofErr w:type="spellEnd"/>
      <w:r w:rsidRPr="00300181">
        <w:rPr>
          <w:b w:val="0"/>
          <w:bCs w:val="0"/>
        </w:rPr>
        <w:t xml:space="preserve"> acnes, reducing both bacterial load and associated inflammation.</w:t>
      </w:r>
    </w:p>
    <w:p w14:paraId="78E3A19C" w14:textId="4D0BDA7B" w:rsidR="00450A31" w:rsidRPr="00300181" w:rsidRDefault="00450A31" w:rsidP="00E8442D">
      <w:pPr>
        <w:pStyle w:val="BOLDTEXT"/>
        <w:numPr>
          <w:ilvl w:val="0"/>
          <w:numId w:val="17"/>
        </w:numPr>
        <w:rPr>
          <w:b w:val="0"/>
          <w:bCs w:val="0"/>
        </w:rPr>
      </w:pPr>
      <w:r w:rsidRPr="00300181">
        <w:rPr>
          <w:b w:val="0"/>
          <w:bCs w:val="0"/>
        </w:rPr>
        <w:t>Benzoyl peroxide is a potent oxidizing agent that exerts broad-spectrum antimicrobial effects independent of antibiotic resistance. It also helps reduce follicular hyperkeratosis by promoting desquamation.</w:t>
      </w:r>
    </w:p>
    <w:p w14:paraId="4FBBD2DC" w14:textId="76903281" w:rsidR="00450A31" w:rsidRPr="00300181" w:rsidRDefault="00450A31" w:rsidP="00E8442D">
      <w:pPr>
        <w:pStyle w:val="BOLDTEXT"/>
        <w:numPr>
          <w:ilvl w:val="0"/>
          <w:numId w:val="17"/>
        </w:numPr>
        <w:rPr>
          <w:b w:val="0"/>
          <w:bCs w:val="0"/>
        </w:rPr>
      </w:pPr>
      <w:r w:rsidRPr="00300181">
        <w:rPr>
          <w:b w:val="0"/>
          <w:bCs w:val="0"/>
        </w:rPr>
        <w:t xml:space="preserve">Adapalene, a third-generation retinoid, modulates cellular differentiation and keratinization by binding to specific retinoic acid receptors (RAR-β and RAR-γ) in the skin. It </w:t>
      </w:r>
      <w:r w:rsidR="005229FD" w:rsidRPr="005229FD">
        <w:rPr>
          <w:b w:val="0"/>
          <w:bCs w:val="0"/>
        </w:rPr>
        <w:t>is thought to help normalize</w:t>
      </w:r>
      <w:r w:rsidR="005229FD">
        <w:rPr>
          <w:b w:val="0"/>
          <w:bCs w:val="0"/>
        </w:rPr>
        <w:t xml:space="preserve"> f</w:t>
      </w:r>
      <w:r w:rsidRPr="00300181">
        <w:rPr>
          <w:b w:val="0"/>
          <w:bCs w:val="0"/>
        </w:rPr>
        <w:t>ollicular epithelial turnover and possesses intrinsic anti-inflammatory properties.</w:t>
      </w:r>
    </w:p>
    <w:p w14:paraId="7D5C81A8" w14:textId="21A149ED" w:rsidR="00E8442D" w:rsidRPr="00146442" w:rsidRDefault="00450A31" w:rsidP="00450A31">
      <w:pPr>
        <w:pStyle w:val="BOLDTEXT"/>
        <w:numPr>
          <w:ilvl w:val="0"/>
          <w:numId w:val="17"/>
        </w:numPr>
        <w:rPr>
          <w:b w:val="0"/>
          <w:bCs w:val="0"/>
        </w:rPr>
      </w:pPr>
      <w:r w:rsidRPr="00300181">
        <w:rPr>
          <w:b w:val="0"/>
          <w:bCs w:val="0"/>
        </w:rPr>
        <w:t>The clinical significance concerning the mechanism of action for clindamycin, adapalene, and benzoyl peroxide in acne treatment remains unknown.</w:t>
      </w:r>
    </w:p>
    <w:p w14:paraId="3AD553D2" w14:textId="592BB8C7" w:rsidR="00450A31" w:rsidRPr="00300181" w:rsidRDefault="00450A31" w:rsidP="00450A31">
      <w:pPr>
        <w:pStyle w:val="BOLDTEXT"/>
        <w:rPr>
          <w:b w:val="0"/>
          <w:bCs w:val="0"/>
        </w:rPr>
      </w:pPr>
      <w:r w:rsidRPr="00300181">
        <w:rPr>
          <w:b w:val="0"/>
          <w:bCs w:val="0"/>
        </w:rPr>
        <w:t xml:space="preserve">These three active ingredients were categorized </w:t>
      </w:r>
      <w:r w:rsidR="00AA0CE2">
        <w:rPr>
          <w:b w:val="0"/>
          <w:bCs w:val="0"/>
        </w:rPr>
        <w:t>as first-line</w:t>
      </w:r>
      <w:r w:rsidRPr="00300181">
        <w:rPr>
          <w:b w:val="0"/>
          <w:bCs w:val="0"/>
        </w:rPr>
        <w:t xml:space="preserve"> treatment for acne vulgaris with a strong recommendation by the 2024 AAD Acne guidelines.</w:t>
      </w:r>
      <w:r w:rsidRPr="00E8442D">
        <w:rPr>
          <w:b w:val="0"/>
          <w:bCs w:val="0"/>
          <w:vertAlign w:val="superscript"/>
        </w:rPr>
        <w:t>2</w:t>
      </w:r>
    </w:p>
    <w:p w14:paraId="24FD8352" w14:textId="5E49B08B" w:rsidR="00450A31" w:rsidRPr="00300181" w:rsidRDefault="00450A31" w:rsidP="00450A31">
      <w:pPr>
        <w:pStyle w:val="BOLDTEXT"/>
        <w:rPr>
          <w:b w:val="0"/>
          <w:bCs w:val="0"/>
        </w:rPr>
      </w:pPr>
      <w:r w:rsidRPr="00300181">
        <w:rPr>
          <w:b w:val="0"/>
          <w:bCs w:val="0"/>
        </w:rPr>
        <w:t>The combined action of these ingredients targets three of four key pathogenic mechanisms of acne—microbial colonization, inflammation, and abnormal keratinization. The combination of BPO and clindamycin also may reduce the development of antibiotic resistance, which is a core goal of antibiotic stewardship recommended by the Centers for Disease Control and by the Scientific Panel on Antibiotic Use in Dermatology of the American Acne and Rosacea Society.</w:t>
      </w:r>
      <w:r w:rsidRPr="00E8442D">
        <w:rPr>
          <w:b w:val="0"/>
          <w:bCs w:val="0"/>
          <w:vertAlign w:val="superscript"/>
        </w:rPr>
        <w:t>3</w:t>
      </w:r>
    </w:p>
    <w:p w14:paraId="2CA3A713" w14:textId="77777777" w:rsidR="00450A31" w:rsidRPr="00300181" w:rsidRDefault="00450A31" w:rsidP="00450A31">
      <w:pPr>
        <w:pStyle w:val="BOLDTEXT"/>
        <w:rPr>
          <w:b w:val="0"/>
          <w:bCs w:val="0"/>
        </w:rPr>
      </w:pPr>
      <w:r w:rsidRPr="00300181">
        <w:rPr>
          <w:b w:val="0"/>
          <w:bCs w:val="0"/>
        </w:rPr>
        <w:t>Please see full articles for more information:</w:t>
      </w:r>
    </w:p>
    <w:p w14:paraId="1D4D45EB" w14:textId="77777777" w:rsidR="00450A31" w:rsidRPr="00300181" w:rsidRDefault="00450A31" w:rsidP="00450A31">
      <w:pPr>
        <w:pStyle w:val="BOLDTEXT"/>
        <w:rPr>
          <w:b w:val="0"/>
          <w:bCs w:val="0"/>
        </w:rPr>
      </w:pPr>
      <w:r w:rsidRPr="00300181">
        <w:rPr>
          <w:b w:val="0"/>
          <w:bCs w:val="0"/>
        </w:rPr>
        <w:t>1. CABTREO (clindamycin phosphate, adapalene and benzoyl peroxide) Topical Gel 1.2%/0.15%/3.1% [prescribing information]. Bridgewater, NJ. Bausch Health US, LLC.</w:t>
      </w:r>
    </w:p>
    <w:p w14:paraId="387FFCD2" w14:textId="77777777" w:rsidR="00450A31" w:rsidRPr="00300181" w:rsidRDefault="00450A31" w:rsidP="00450A31">
      <w:pPr>
        <w:pStyle w:val="BOLDTEXT"/>
        <w:rPr>
          <w:b w:val="0"/>
          <w:bCs w:val="0"/>
        </w:rPr>
      </w:pPr>
      <w:r w:rsidRPr="00914F31">
        <w:rPr>
          <w:b w:val="0"/>
          <w:bCs w:val="0"/>
          <w:lang w:val="fr-FR"/>
        </w:rPr>
        <w:t xml:space="preserve">2. Reynolds RV, Yeung H, Cheng CE, et al. </w:t>
      </w:r>
      <w:r w:rsidRPr="00300181">
        <w:rPr>
          <w:b w:val="0"/>
          <w:bCs w:val="0"/>
        </w:rPr>
        <w:t>Guidelines of care for the management of acne vulgaris. J Am Acad Dermatol. 2024;90(5):1006.e1-30</w:t>
      </w:r>
    </w:p>
    <w:p w14:paraId="2112E3D3" w14:textId="77777777" w:rsidR="00450A31" w:rsidRPr="00300181" w:rsidRDefault="00450A31" w:rsidP="00450A31">
      <w:pPr>
        <w:pStyle w:val="BOLDTEXT"/>
        <w:rPr>
          <w:b w:val="0"/>
          <w:bCs w:val="0"/>
        </w:rPr>
      </w:pPr>
      <w:r w:rsidRPr="00300181">
        <w:rPr>
          <w:b w:val="0"/>
          <w:bCs w:val="0"/>
        </w:rPr>
        <w:t xml:space="preserve">3. </w:t>
      </w:r>
      <w:proofErr w:type="spellStart"/>
      <w:r w:rsidRPr="00300181">
        <w:rPr>
          <w:b w:val="0"/>
          <w:bCs w:val="0"/>
        </w:rPr>
        <w:t>Kircik</w:t>
      </w:r>
      <w:proofErr w:type="spellEnd"/>
      <w:r w:rsidRPr="00300181">
        <w:rPr>
          <w:b w:val="0"/>
          <w:bCs w:val="0"/>
        </w:rPr>
        <w:t xml:space="preserve"> LH et al. Triple Combination Clindamycin Phosphate 1.2%/ Adapalene 0.15%/Benzoyl Peroxide 3.1% for Acne: Efficacy and Safety from a Pooled Phase 3 Analysis, Dermatol Ther (</w:t>
      </w:r>
      <w:proofErr w:type="spellStart"/>
      <w:r w:rsidRPr="00300181">
        <w:rPr>
          <w:b w:val="0"/>
          <w:bCs w:val="0"/>
        </w:rPr>
        <w:t>Heidelb</w:t>
      </w:r>
      <w:proofErr w:type="spellEnd"/>
      <w:r w:rsidRPr="00300181">
        <w:rPr>
          <w:b w:val="0"/>
          <w:bCs w:val="0"/>
        </w:rPr>
        <w:t>). 2024 May;14(5):1211-1227.</w:t>
      </w:r>
    </w:p>
    <w:p w14:paraId="6816B148" w14:textId="77777777" w:rsidR="001408CD" w:rsidRDefault="001408CD" w:rsidP="00450A31">
      <w:pPr>
        <w:pStyle w:val="BOLDTEXT"/>
        <w:rPr>
          <w:rFonts w:ascii="Segoe UI Symbol" w:hAnsi="Segoe UI Symbol" w:cs="Segoe UI Symbol"/>
        </w:rPr>
      </w:pPr>
    </w:p>
    <w:p w14:paraId="6CBADFD4" w14:textId="6D7B3A7E" w:rsidR="00450A31" w:rsidRPr="00450A31" w:rsidRDefault="00450A31" w:rsidP="00450A31">
      <w:pPr>
        <w:pStyle w:val="BOLDTEXT"/>
      </w:pPr>
      <w:r w:rsidRPr="00450A31">
        <w:rPr>
          <w:rFonts w:ascii="Segoe UI Symbol" w:hAnsi="Segoe UI Symbol" w:cs="Segoe UI Symbol"/>
        </w:rPr>
        <w:t>☐</w:t>
      </w:r>
      <w:r w:rsidRPr="00450A31">
        <w:t xml:space="preserve"> Characteristics of CABTREO in phase 2 and post-marketing studies</w:t>
      </w:r>
    </w:p>
    <w:p w14:paraId="5829C179" w14:textId="62E2BC0E" w:rsidR="00450A31" w:rsidRPr="00300181" w:rsidRDefault="00450A31" w:rsidP="00E8442D">
      <w:pPr>
        <w:pStyle w:val="BOLDTEXT"/>
        <w:numPr>
          <w:ilvl w:val="0"/>
          <w:numId w:val="19"/>
        </w:numPr>
        <w:rPr>
          <w:b w:val="0"/>
          <w:bCs w:val="0"/>
        </w:rPr>
      </w:pPr>
      <w:r w:rsidRPr="00300181">
        <w:rPr>
          <w:b w:val="0"/>
          <w:bCs w:val="0"/>
        </w:rPr>
        <w:t>In a phase 2 trial, CABTREO was evaluated over 12 weeks in participants with moderate to severe acne and compared with three dyad component combinations and vehicle gel. CABTREO achieved a treatment success of 52.5% and &gt;70% lesion reduction at week 12.</w:t>
      </w:r>
      <w:r w:rsidRPr="00E8442D">
        <w:rPr>
          <w:b w:val="0"/>
          <w:bCs w:val="0"/>
          <w:vertAlign w:val="superscript"/>
        </w:rPr>
        <w:t>1</w:t>
      </w:r>
    </w:p>
    <w:p w14:paraId="54F029BB" w14:textId="265EFD12" w:rsidR="00450A31" w:rsidRPr="00300181" w:rsidRDefault="00450A31" w:rsidP="00E8442D">
      <w:pPr>
        <w:pStyle w:val="BOLDTEXT"/>
        <w:numPr>
          <w:ilvl w:val="0"/>
          <w:numId w:val="18"/>
        </w:numPr>
        <w:rPr>
          <w:b w:val="0"/>
          <w:bCs w:val="0"/>
        </w:rPr>
      </w:pPr>
      <w:r w:rsidRPr="00300181">
        <w:rPr>
          <w:b w:val="0"/>
          <w:bCs w:val="0"/>
        </w:rPr>
        <w:t xml:space="preserve">In a phase 2 multicenter, randomized, double-blind, vehicle-controlled, 12-week study, CABTREO was tested alongside Epiduo Forte and vehicle gel in 230, 228, and 228 participants, </w:t>
      </w:r>
      <w:r w:rsidR="00AA0CE2">
        <w:rPr>
          <w:b w:val="0"/>
          <w:bCs w:val="0"/>
        </w:rPr>
        <w:t>respectively</w:t>
      </w:r>
      <w:r w:rsidRPr="00300181">
        <w:rPr>
          <w:b w:val="0"/>
          <w:bCs w:val="0"/>
        </w:rPr>
        <w:t xml:space="preserve">, with moderate to severe acne (NCT04892706). Subjects included were 12 years of age </w:t>
      </w:r>
      <w:r w:rsidR="00AA0CE2">
        <w:rPr>
          <w:b w:val="0"/>
          <w:bCs w:val="0"/>
        </w:rPr>
        <w:t>and</w:t>
      </w:r>
      <w:r w:rsidRPr="00300181">
        <w:rPr>
          <w:b w:val="0"/>
          <w:bCs w:val="0"/>
        </w:rPr>
        <w:t xml:space="preserve"> older and applied CABTREO</w:t>
      </w:r>
      <w:r w:rsidR="007D75C7">
        <w:rPr>
          <w:b w:val="0"/>
          <w:bCs w:val="0"/>
          <w:vertAlign w:val="superscript"/>
        </w:rPr>
        <w:br/>
      </w:r>
      <w:r w:rsidRPr="00300181">
        <w:rPr>
          <w:b w:val="0"/>
          <w:bCs w:val="0"/>
        </w:rPr>
        <w:t xml:space="preserve"> once daily for 12 weeks.</w:t>
      </w:r>
      <w:r w:rsidRPr="00E8442D">
        <w:rPr>
          <w:b w:val="0"/>
          <w:bCs w:val="0"/>
          <w:vertAlign w:val="superscript"/>
        </w:rPr>
        <w:t>3</w:t>
      </w:r>
    </w:p>
    <w:p w14:paraId="1D3B6D0F" w14:textId="0BD39658" w:rsidR="001E2EF1" w:rsidRDefault="001E2EF1" w:rsidP="00E8442D">
      <w:pPr>
        <w:pStyle w:val="BOLDTEXT"/>
        <w:numPr>
          <w:ilvl w:val="0"/>
          <w:numId w:val="18"/>
        </w:numPr>
        <w:rPr>
          <w:b w:val="0"/>
          <w:bCs w:val="0"/>
        </w:rPr>
      </w:pPr>
      <w:r w:rsidRPr="001E2EF1">
        <w:rPr>
          <w:b w:val="0"/>
          <w:bCs w:val="0"/>
        </w:rPr>
        <w:t xml:space="preserve">In this study, all coprimary endpoints were met in the CABTREO treatment arm. At Week 12, 51.3% of </w:t>
      </w:r>
      <w:r w:rsidRPr="001E2EF1">
        <w:rPr>
          <w:b w:val="0"/>
          <w:bCs w:val="0"/>
        </w:rPr>
        <w:lastRenderedPageBreak/>
        <w:t>subjects receiving CABTREO achieved treatment success, with mean reductions of 76.8% and 71.8% in both inflammatory and non-inflammatory lesion counts, respectively. In comparison, 32.9% of subjects receiving Epiduo Forte achieved treatment success at Week 12, representing an 18.4-percentage-point difference between treatment groups.</w:t>
      </w:r>
      <w:r w:rsidRPr="001E2EF1">
        <w:rPr>
          <w:b w:val="0"/>
          <w:bCs w:val="0"/>
          <w:vertAlign w:val="superscript"/>
        </w:rPr>
        <w:t>3</w:t>
      </w:r>
    </w:p>
    <w:p w14:paraId="1F041C57" w14:textId="14A1C626" w:rsidR="00450A31" w:rsidRPr="00300181" w:rsidRDefault="00450A31" w:rsidP="00E8442D">
      <w:pPr>
        <w:pStyle w:val="BOLDTEXT"/>
        <w:numPr>
          <w:ilvl w:val="0"/>
          <w:numId w:val="18"/>
        </w:numPr>
        <w:rPr>
          <w:b w:val="0"/>
          <w:bCs w:val="0"/>
        </w:rPr>
      </w:pPr>
      <w:r w:rsidRPr="00300181">
        <w:rPr>
          <w:b w:val="0"/>
          <w:bCs w:val="0"/>
        </w:rPr>
        <w:t xml:space="preserve">A greater proportion of patients in the CABTREO group reported </w:t>
      </w:r>
      <w:r w:rsidR="00AA0CE2">
        <w:rPr>
          <w:b w:val="0"/>
          <w:bCs w:val="0"/>
        </w:rPr>
        <w:t>treatment-emergent</w:t>
      </w:r>
      <w:r w:rsidRPr="00300181">
        <w:rPr>
          <w:b w:val="0"/>
          <w:bCs w:val="0"/>
        </w:rPr>
        <w:t xml:space="preserve"> adverse events (TEAEs) versus vehicle. Most TEAEs were mild to moderate in severity, and there were no serious AEs. Mean cutaneous safety and tolerability scores for CABTREO were all mild, with scores less than 1.</w:t>
      </w:r>
      <w:r w:rsidRPr="00E8442D">
        <w:rPr>
          <w:b w:val="0"/>
          <w:bCs w:val="0"/>
          <w:vertAlign w:val="superscript"/>
        </w:rPr>
        <w:t>3</w:t>
      </w:r>
    </w:p>
    <w:p w14:paraId="3391C846" w14:textId="6EB50800" w:rsidR="00B667D0" w:rsidRPr="00B667D0" w:rsidRDefault="00450A31" w:rsidP="00B667D0">
      <w:pPr>
        <w:pStyle w:val="BOLDTEXT"/>
        <w:numPr>
          <w:ilvl w:val="0"/>
          <w:numId w:val="18"/>
        </w:numPr>
        <w:rPr>
          <w:b w:val="0"/>
          <w:bCs w:val="0"/>
        </w:rPr>
      </w:pPr>
      <w:r w:rsidRPr="00300181">
        <w:rPr>
          <w:b w:val="0"/>
          <w:bCs w:val="0"/>
        </w:rPr>
        <w:t>CABTREO has a polymeric mesh formulation where the adapalene and benzoyl peroxide have been</w:t>
      </w:r>
      <w:r w:rsidR="00E8442D">
        <w:rPr>
          <w:b w:val="0"/>
          <w:bCs w:val="0"/>
        </w:rPr>
        <w:t xml:space="preserve"> </w:t>
      </w:r>
      <w:r w:rsidRPr="00E8442D">
        <w:rPr>
          <w:b w:val="0"/>
          <w:bCs w:val="0"/>
        </w:rPr>
        <w:t>micronized to allow for even distribution over the skin. The anti-inflammatory properties of clindamycin may also provide a moderating effect on cutaneous irritation with benzoyl peroxide and adapalene. The formulation is also delivered in a pH-balanced, aqueous gel that is free from preservatives, alcohol, occlusive agents, and surfactants.</w:t>
      </w:r>
      <w:r w:rsidRPr="00E8442D">
        <w:rPr>
          <w:b w:val="0"/>
          <w:bCs w:val="0"/>
          <w:vertAlign w:val="superscript"/>
        </w:rPr>
        <w:t>4</w:t>
      </w:r>
    </w:p>
    <w:p w14:paraId="62C7CACB" w14:textId="5133108F" w:rsidR="00450A31" w:rsidRPr="00300181" w:rsidRDefault="00450A31" w:rsidP="00450A31">
      <w:pPr>
        <w:pStyle w:val="BOLDTEXT"/>
        <w:rPr>
          <w:b w:val="0"/>
          <w:bCs w:val="0"/>
        </w:rPr>
      </w:pPr>
      <w:r w:rsidRPr="00300181">
        <w:rPr>
          <w:b w:val="0"/>
          <w:bCs w:val="0"/>
        </w:rPr>
        <w:t>Please see full articles for more information:</w:t>
      </w:r>
    </w:p>
    <w:p w14:paraId="25BBB6F3" w14:textId="77777777" w:rsidR="00450A31" w:rsidRPr="00300181" w:rsidRDefault="00450A31" w:rsidP="00450A31">
      <w:pPr>
        <w:pStyle w:val="BOLDTEXT"/>
        <w:rPr>
          <w:b w:val="0"/>
          <w:bCs w:val="0"/>
        </w:rPr>
      </w:pPr>
      <w:r w:rsidRPr="00300181">
        <w:rPr>
          <w:b w:val="0"/>
          <w:bCs w:val="0"/>
        </w:rPr>
        <w:t xml:space="preserve">1. Stein Gold L, Baldwin H, </w:t>
      </w:r>
      <w:proofErr w:type="spellStart"/>
      <w:r w:rsidRPr="00300181">
        <w:rPr>
          <w:b w:val="0"/>
          <w:bCs w:val="0"/>
        </w:rPr>
        <w:t>Kircik</w:t>
      </w:r>
      <w:proofErr w:type="spellEnd"/>
      <w:r w:rsidRPr="00300181">
        <w:rPr>
          <w:b w:val="0"/>
          <w:bCs w:val="0"/>
        </w:rPr>
        <w:t xml:space="preserve"> LH, et al. Efficacy and safety of a fixed-dose clindamycin phosphate 1.2%, benzoyl peroxide 3.1%, and adapalene 0.15% gel for moderate-to-severe acne: a randomized Phase II Study of the first triple-combination drug. Amer J Clin Dermatol. 2022;23(1):93-104</w:t>
      </w:r>
    </w:p>
    <w:p w14:paraId="2D663CA7" w14:textId="77777777" w:rsidR="00450A31" w:rsidRPr="00300181" w:rsidRDefault="00450A31" w:rsidP="00450A31">
      <w:pPr>
        <w:pStyle w:val="BOLDTEXT"/>
        <w:rPr>
          <w:b w:val="0"/>
          <w:bCs w:val="0"/>
        </w:rPr>
      </w:pPr>
      <w:r w:rsidRPr="00300181">
        <w:rPr>
          <w:b w:val="0"/>
          <w:bCs w:val="0"/>
        </w:rPr>
        <w:t xml:space="preserve">2. </w:t>
      </w:r>
      <w:proofErr w:type="spellStart"/>
      <w:r w:rsidRPr="00300181">
        <w:rPr>
          <w:b w:val="0"/>
          <w:bCs w:val="0"/>
        </w:rPr>
        <w:t>Draelos</w:t>
      </w:r>
      <w:proofErr w:type="spellEnd"/>
      <w:r w:rsidRPr="00300181">
        <w:rPr>
          <w:b w:val="0"/>
          <w:bCs w:val="0"/>
        </w:rPr>
        <w:t xml:space="preserve"> JD; Application Characteristics and Patient Preference of Triple-Combination vs Layered Topicals for Acne: Split-Face Study: J Drugs Dermatol. 2024 Oct 1;23(10):857-861.</w:t>
      </w:r>
    </w:p>
    <w:p w14:paraId="4631AB3C" w14:textId="77777777" w:rsidR="00450A31" w:rsidRPr="00300181" w:rsidRDefault="00450A31" w:rsidP="00450A31">
      <w:pPr>
        <w:pStyle w:val="BOLDTEXT"/>
        <w:rPr>
          <w:b w:val="0"/>
          <w:bCs w:val="0"/>
        </w:rPr>
      </w:pPr>
      <w:r w:rsidRPr="00300181">
        <w:rPr>
          <w:b w:val="0"/>
          <w:bCs w:val="0"/>
        </w:rPr>
        <w:t>3. Ortho Dermatologics. Data on File</w:t>
      </w:r>
    </w:p>
    <w:p w14:paraId="7A82EB18" w14:textId="77777777" w:rsidR="00450A31" w:rsidRPr="00300181" w:rsidRDefault="00450A31" w:rsidP="00450A31">
      <w:pPr>
        <w:pStyle w:val="BOLDTEXT"/>
        <w:rPr>
          <w:b w:val="0"/>
          <w:bCs w:val="0"/>
        </w:rPr>
      </w:pPr>
      <w:r w:rsidRPr="00300181">
        <w:rPr>
          <w:b w:val="0"/>
          <w:bCs w:val="0"/>
        </w:rPr>
        <w:t xml:space="preserve">4. </w:t>
      </w:r>
      <w:proofErr w:type="spellStart"/>
      <w:r w:rsidRPr="00300181">
        <w:rPr>
          <w:b w:val="0"/>
          <w:bCs w:val="0"/>
        </w:rPr>
        <w:t>Kircik</w:t>
      </w:r>
      <w:proofErr w:type="spellEnd"/>
      <w:r w:rsidRPr="00300181">
        <w:rPr>
          <w:b w:val="0"/>
          <w:bCs w:val="0"/>
        </w:rPr>
        <w:t xml:space="preserve"> LH et al. Triple Combination Clindamycin Phosphate 1.2%/ Adapalene 0.15%/Benzoyl Peroxide 3.1% for Acne: Efficacy and Safety from a Pooled Phase 3 Analysis, Dermatol Ther (</w:t>
      </w:r>
      <w:proofErr w:type="spellStart"/>
      <w:r w:rsidRPr="00300181">
        <w:rPr>
          <w:b w:val="0"/>
          <w:bCs w:val="0"/>
        </w:rPr>
        <w:t>Heidelb</w:t>
      </w:r>
      <w:proofErr w:type="spellEnd"/>
      <w:r w:rsidRPr="00300181">
        <w:rPr>
          <w:b w:val="0"/>
          <w:bCs w:val="0"/>
        </w:rPr>
        <w:t>). 2024 May;14(5):1211-1227.</w:t>
      </w:r>
    </w:p>
    <w:p w14:paraId="0DAC4649" w14:textId="77777777" w:rsidR="00E8442D" w:rsidRDefault="00E8442D" w:rsidP="00450A31">
      <w:pPr>
        <w:pStyle w:val="BOLDTEXT"/>
        <w:rPr>
          <w:b w:val="0"/>
          <w:bCs w:val="0"/>
        </w:rPr>
      </w:pPr>
    </w:p>
    <w:p w14:paraId="1D19DC39" w14:textId="0BB613D4" w:rsidR="00E8442D" w:rsidRDefault="00450A31" w:rsidP="00450A31">
      <w:pPr>
        <w:pStyle w:val="BOLDTEXT"/>
      </w:pPr>
      <w:r w:rsidRPr="00146442">
        <w:t>INDICATION AND IMPORTANT SAFETY INFORMATION FOR CABTREO</w:t>
      </w:r>
    </w:p>
    <w:p w14:paraId="216D2A6C" w14:textId="77777777" w:rsidR="00146442" w:rsidRPr="00146442" w:rsidRDefault="00146442" w:rsidP="00450A31">
      <w:pPr>
        <w:pStyle w:val="BOLDTEXT"/>
      </w:pPr>
    </w:p>
    <w:p w14:paraId="12FFD6B2" w14:textId="25112089" w:rsidR="00450A31" w:rsidRPr="00E8442D" w:rsidRDefault="00450A31" w:rsidP="00450A31">
      <w:pPr>
        <w:pStyle w:val="BOLDTEXT"/>
      </w:pPr>
      <w:r w:rsidRPr="00E8442D">
        <w:t>INDICATION</w:t>
      </w:r>
    </w:p>
    <w:p w14:paraId="7BDC258E" w14:textId="77777777" w:rsidR="00450A31" w:rsidRPr="00300181" w:rsidRDefault="00450A31" w:rsidP="00450A31">
      <w:pPr>
        <w:pStyle w:val="BOLDTEXT"/>
        <w:rPr>
          <w:b w:val="0"/>
          <w:bCs w:val="0"/>
        </w:rPr>
      </w:pPr>
      <w:r w:rsidRPr="00300181">
        <w:rPr>
          <w:b w:val="0"/>
          <w:bCs w:val="0"/>
        </w:rPr>
        <w:t>CABTREO (clindamycin phosphate, adapalene and benzoyl peroxide) Topical Gel 1.2%/0.15%/3.1% is indicated for the topical treatment of acne vulgaris in adult and pediatric patients 12 years of age and older.</w:t>
      </w:r>
    </w:p>
    <w:p w14:paraId="2E9394EB" w14:textId="77777777" w:rsidR="00E8442D" w:rsidRDefault="00E8442D" w:rsidP="00450A31">
      <w:pPr>
        <w:pStyle w:val="BOLDTEXT"/>
        <w:rPr>
          <w:b w:val="0"/>
          <w:bCs w:val="0"/>
        </w:rPr>
      </w:pPr>
    </w:p>
    <w:p w14:paraId="4799AFF2" w14:textId="04222FE2" w:rsidR="00450A31" w:rsidRPr="00E8442D" w:rsidRDefault="00450A31" w:rsidP="00450A31">
      <w:pPr>
        <w:pStyle w:val="BOLDTEXT"/>
      </w:pPr>
      <w:r w:rsidRPr="00E8442D">
        <w:t>IMPORTANT SAFETY INFORMATION</w:t>
      </w:r>
    </w:p>
    <w:p w14:paraId="6DFFBE63" w14:textId="77777777" w:rsidR="00450A31" w:rsidRPr="00E8442D" w:rsidRDefault="00450A31" w:rsidP="00450A31">
      <w:pPr>
        <w:pStyle w:val="BOLDTEXT"/>
      </w:pPr>
      <w:r w:rsidRPr="00E8442D">
        <w:t>CONTRAINDICATIONS</w:t>
      </w:r>
    </w:p>
    <w:p w14:paraId="0737D640" w14:textId="77777777" w:rsidR="00450A31" w:rsidRPr="00300181" w:rsidRDefault="00450A31" w:rsidP="00450A31">
      <w:pPr>
        <w:pStyle w:val="BOLDTEXT"/>
        <w:rPr>
          <w:b w:val="0"/>
          <w:bCs w:val="0"/>
        </w:rPr>
      </w:pPr>
      <w:r w:rsidRPr="00300181">
        <w:rPr>
          <w:b w:val="0"/>
          <w:bCs w:val="0"/>
        </w:rPr>
        <w:t>CABTREO is contraindicated in patients with:</w:t>
      </w:r>
    </w:p>
    <w:p w14:paraId="04231983" w14:textId="0F3195EF" w:rsidR="00450A31" w:rsidRPr="00300181" w:rsidRDefault="00450A31" w:rsidP="00E8442D">
      <w:pPr>
        <w:pStyle w:val="BOLDTEXT"/>
        <w:numPr>
          <w:ilvl w:val="0"/>
          <w:numId w:val="20"/>
        </w:numPr>
        <w:rPr>
          <w:b w:val="0"/>
          <w:bCs w:val="0"/>
        </w:rPr>
      </w:pPr>
      <w:r w:rsidRPr="00300181">
        <w:rPr>
          <w:b w:val="0"/>
          <w:bCs w:val="0"/>
        </w:rPr>
        <w:t>known hypersensitivity to clindamycin, adapalene, benzoyl peroxide, any components of the formulation, or lincomycin.</w:t>
      </w:r>
    </w:p>
    <w:p w14:paraId="51967C46" w14:textId="4A179211" w:rsidR="00450A31" w:rsidRPr="00300181" w:rsidRDefault="00450A31" w:rsidP="00E8442D">
      <w:pPr>
        <w:pStyle w:val="BOLDTEXT"/>
        <w:numPr>
          <w:ilvl w:val="0"/>
          <w:numId w:val="20"/>
        </w:numPr>
        <w:rPr>
          <w:b w:val="0"/>
          <w:bCs w:val="0"/>
        </w:rPr>
      </w:pPr>
      <w:r w:rsidRPr="00300181">
        <w:rPr>
          <w:b w:val="0"/>
          <w:bCs w:val="0"/>
        </w:rPr>
        <w:t>history of regional enteritis, ulcerative colitis, or antibiotic-associated colitis.</w:t>
      </w:r>
    </w:p>
    <w:p w14:paraId="152A606D" w14:textId="77777777" w:rsidR="00450A31" w:rsidRPr="00E8442D" w:rsidRDefault="00450A31" w:rsidP="00450A31">
      <w:pPr>
        <w:pStyle w:val="BOLDTEXT"/>
      </w:pPr>
      <w:r w:rsidRPr="00E8442D">
        <w:t>WARNINGS AND PRECAUTIONS</w:t>
      </w:r>
    </w:p>
    <w:p w14:paraId="15C1E4A8" w14:textId="77777777" w:rsidR="00450A31" w:rsidRPr="00300181" w:rsidRDefault="00450A31" w:rsidP="00450A31">
      <w:pPr>
        <w:pStyle w:val="BOLDTEXT"/>
        <w:rPr>
          <w:b w:val="0"/>
          <w:bCs w:val="0"/>
        </w:rPr>
      </w:pPr>
      <w:r w:rsidRPr="00E8442D">
        <w:t>Hypersensitivity:</w:t>
      </w:r>
      <w:r w:rsidRPr="00300181">
        <w:rPr>
          <w:b w:val="0"/>
          <w:bCs w:val="0"/>
        </w:rPr>
        <w:t xml:space="preserve"> Hypersensitivity reactions, including anaphylaxis, angioedema, and urticaria, have been reported. If a serious hypersensitivity reaction occurs, discontinue CABTREO immediately and initiate appropriate therapy.</w:t>
      </w:r>
    </w:p>
    <w:p w14:paraId="4A6DB734" w14:textId="77777777" w:rsidR="00450A31" w:rsidRPr="00300181" w:rsidRDefault="00450A31" w:rsidP="00450A31">
      <w:pPr>
        <w:pStyle w:val="BOLDTEXT"/>
        <w:rPr>
          <w:b w:val="0"/>
          <w:bCs w:val="0"/>
        </w:rPr>
      </w:pPr>
      <w:r w:rsidRPr="00E8442D">
        <w:t>Colitis:</w:t>
      </w:r>
      <w:r w:rsidRPr="00300181">
        <w:rPr>
          <w:b w:val="0"/>
          <w:bCs w:val="0"/>
        </w:rPr>
        <w:t xml:space="preserve"> Clindamycin can cause severe colitis, which may result in death. Discontinue CABTREO if diarrhea occurs.</w:t>
      </w:r>
    </w:p>
    <w:p w14:paraId="6E1A2C3D" w14:textId="77777777" w:rsidR="00450A31" w:rsidRPr="00300181" w:rsidRDefault="00450A31" w:rsidP="00450A31">
      <w:pPr>
        <w:pStyle w:val="BOLDTEXT"/>
        <w:rPr>
          <w:b w:val="0"/>
          <w:bCs w:val="0"/>
        </w:rPr>
      </w:pPr>
      <w:r w:rsidRPr="00E8442D">
        <w:t>Photosensitivity:</w:t>
      </w:r>
      <w:r w:rsidRPr="00300181">
        <w:rPr>
          <w:b w:val="0"/>
          <w:bCs w:val="0"/>
        </w:rPr>
        <w:t xml:space="preserve"> CABTREO may increase sensitivity to ultraviolet light. Avoid or minimize exposure to sunlight and sunlamps. Wear sunscreen and protective clothing when sun exposure cannot be avoided.</w:t>
      </w:r>
    </w:p>
    <w:p w14:paraId="7D202501" w14:textId="77777777" w:rsidR="00450A31" w:rsidRPr="00300181" w:rsidRDefault="00450A31" w:rsidP="00450A31">
      <w:pPr>
        <w:pStyle w:val="BOLDTEXT"/>
        <w:rPr>
          <w:b w:val="0"/>
          <w:bCs w:val="0"/>
        </w:rPr>
      </w:pPr>
      <w:r w:rsidRPr="00E8442D">
        <w:t>Skin Irritation and Allergic Contact Dermatitis:</w:t>
      </w:r>
      <w:r w:rsidRPr="00300181">
        <w:rPr>
          <w:b w:val="0"/>
          <w:bCs w:val="0"/>
        </w:rPr>
        <w:t xml:space="preserve"> Stinging/burning/pain, erythema, dryness, irritation, exfoliation, and dermatitis may occur with use of CABTREO and may necessitate discontinuation. Weather extremes, such as wind or cold, may be irritating to patients under treatment with CABTREO. Depending upon severity, patients can use a moisturizer, reduce frequency of application, or discontinue use. Avoid applying CABTREO to areas of broken, eczematous, or sunburned skin, and concomitant use with other potentially irritating topical products. Avoid use of “waxing” as a depilatory method on skin treated with CABTREO.</w:t>
      </w:r>
    </w:p>
    <w:p w14:paraId="55389983" w14:textId="77777777" w:rsidR="00450A31" w:rsidRPr="00300181" w:rsidRDefault="00450A31" w:rsidP="00450A31">
      <w:pPr>
        <w:pStyle w:val="BOLDTEXT"/>
        <w:rPr>
          <w:b w:val="0"/>
          <w:bCs w:val="0"/>
        </w:rPr>
      </w:pPr>
      <w:r w:rsidRPr="00300181">
        <w:rPr>
          <w:b w:val="0"/>
          <w:bCs w:val="0"/>
        </w:rPr>
        <w:t>Use of CABTREO with concomitant topical acne therapy has not been evaluated.</w:t>
      </w:r>
    </w:p>
    <w:p w14:paraId="4292DF69" w14:textId="3D9D0CF0" w:rsidR="001E2EF1" w:rsidRPr="00E8442D" w:rsidRDefault="001E2EF1" w:rsidP="001E2EF1">
      <w:pPr>
        <w:pStyle w:val="BOLDTEXT"/>
      </w:pPr>
      <w:r w:rsidRPr="00E8442D">
        <w:lastRenderedPageBreak/>
        <w:t>IMPORTANT SAFETY INFORMATION</w:t>
      </w:r>
      <w:r>
        <w:t xml:space="preserve"> (</w:t>
      </w:r>
      <w:r w:rsidRPr="00F12D91">
        <w:rPr>
          <w:caps/>
        </w:rPr>
        <w:t>continued</w:t>
      </w:r>
      <w:r>
        <w:t>)</w:t>
      </w:r>
    </w:p>
    <w:p w14:paraId="7766240F" w14:textId="1166AB6B" w:rsidR="00450A31" w:rsidRPr="00E8442D" w:rsidRDefault="00450A31" w:rsidP="00450A31">
      <w:pPr>
        <w:pStyle w:val="BOLDTEXT"/>
      </w:pPr>
      <w:r w:rsidRPr="00E8442D">
        <w:t>ADVERSE REACTIONS</w:t>
      </w:r>
    </w:p>
    <w:p w14:paraId="24823BC0" w14:textId="77777777" w:rsidR="00450A31" w:rsidRPr="00300181" w:rsidRDefault="00450A31" w:rsidP="00450A31">
      <w:pPr>
        <w:pStyle w:val="BOLDTEXT"/>
        <w:rPr>
          <w:b w:val="0"/>
          <w:bCs w:val="0"/>
        </w:rPr>
      </w:pPr>
      <w:r w:rsidRPr="00300181">
        <w:rPr>
          <w:b w:val="0"/>
          <w:bCs w:val="0"/>
        </w:rPr>
        <w:t>The most common adverse reactions (occurring in &gt;1% of the CABTREO group and greater than the vehicle group) were application site reactions, pain, erythema, dryness, irritation, exfoliation, and dermatitis.</w:t>
      </w:r>
    </w:p>
    <w:p w14:paraId="333B0899" w14:textId="77777777" w:rsidR="00450A31" w:rsidRPr="00E8442D" w:rsidRDefault="00450A31" w:rsidP="00450A31">
      <w:pPr>
        <w:pStyle w:val="BOLDTEXT"/>
      </w:pPr>
      <w:r w:rsidRPr="00E8442D">
        <w:t>DRUG INTERACTIONS</w:t>
      </w:r>
    </w:p>
    <w:p w14:paraId="7AC592DF" w14:textId="77777777" w:rsidR="00450A31" w:rsidRPr="00300181" w:rsidRDefault="00450A31" w:rsidP="00450A31">
      <w:pPr>
        <w:pStyle w:val="BOLDTEXT"/>
        <w:rPr>
          <w:b w:val="0"/>
          <w:bCs w:val="0"/>
        </w:rPr>
      </w:pPr>
      <w:r w:rsidRPr="00300181">
        <w:rPr>
          <w:b w:val="0"/>
          <w:bCs w:val="0"/>
        </w:rPr>
        <w:t>Use CABTREO with caution in patients receiving neuromuscular blocking agents.</w:t>
      </w:r>
    </w:p>
    <w:p w14:paraId="6C62BAD8" w14:textId="77777777" w:rsidR="00146442" w:rsidRDefault="00146442" w:rsidP="00450A31">
      <w:pPr>
        <w:pStyle w:val="BOLDTEXT"/>
        <w:rPr>
          <w:b w:val="0"/>
          <w:bCs w:val="0"/>
        </w:rPr>
      </w:pPr>
    </w:p>
    <w:p w14:paraId="08A0652F" w14:textId="623EE876" w:rsidR="00450A31" w:rsidRPr="00300181" w:rsidRDefault="00450A31" w:rsidP="00450A31">
      <w:pPr>
        <w:pStyle w:val="BOLDTEXT"/>
        <w:rPr>
          <w:b w:val="0"/>
          <w:bCs w:val="0"/>
        </w:rPr>
      </w:pPr>
      <w:r w:rsidRPr="00300181">
        <w:rPr>
          <w:b w:val="0"/>
          <w:bCs w:val="0"/>
        </w:rPr>
        <w:t xml:space="preserve">Please click </w:t>
      </w:r>
      <w:hyperlink r:id="rId12" w:history="1">
        <w:r w:rsidRPr="0020519E">
          <w:rPr>
            <w:rStyle w:val="Hyperlink"/>
            <w:b w:val="0"/>
            <w:bCs w:val="0"/>
          </w:rPr>
          <w:t>here</w:t>
        </w:r>
      </w:hyperlink>
      <w:r w:rsidRPr="00300181">
        <w:rPr>
          <w:b w:val="0"/>
          <w:bCs w:val="0"/>
        </w:rPr>
        <w:t xml:space="preserve"> for full Prescribing Information, Patient Information and Instructions for Use.</w:t>
      </w:r>
    </w:p>
    <w:p w14:paraId="78F30DA9" w14:textId="36C4F089" w:rsidR="00146442" w:rsidRDefault="00146442" w:rsidP="00450A31">
      <w:pPr>
        <w:pStyle w:val="BOLDTEXT"/>
        <w:rPr>
          <w:b w:val="0"/>
          <w:bCs w:val="0"/>
        </w:rPr>
      </w:pPr>
    </w:p>
    <w:p w14:paraId="0C566C68" w14:textId="6F825ECF" w:rsidR="00450A31" w:rsidRDefault="00450A31" w:rsidP="00450A31">
      <w:pPr>
        <w:pStyle w:val="BOLDTEXT"/>
        <w:rPr>
          <w:b w:val="0"/>
          <w:bCs w:val="0"/>
        </w:rPr>
      </w:pPr>
      <w:r w:rsidRPr="00300181">
        <w:rPr>
          <w:b w:val="0"/>
          <w:bCs w:val="0"/>
        </w:rPr>
        <w:t>CABTREO is a trademark of Ortho Dermatologics or its affiliates. © 202</w:t>
      </w:r>
      <w:r w:rsidR="00E8442D">
        <w:rPr>
          <w:b w:val="0"/>
          <w:bCs w:val="0"/>
        </w:rPr>
        <w:t>6</w:t>
      </w:r>
      <w:r w:rsidRPr="00300181">
        <w:rPr>
          <w:b w:val="0"/>
          <w:bCs w:val="0"/>
        </w:rPr>
        <w:t xml:space="preserve"> Ortho Dermatologics or its affiliates</w:t>
      </w:r>
    </w:p>
    <w:p w14:paraId="59C873AD" w14:textId="4B757113" w:rsidR="00E8442D" w:rsidRPr="007D75C7" w:rsidRDefault="00E8442D" w:rsidP="00450A31">
      <w:pPr>
        <w:pStyle w:val="BOLDTEXT"/>
        <w:rPr>
          <w:b w:val="0"/>
          <w:bCs w:val="0"/>
          <w:szCs w:val="20"/>
        </w:rPr>
      </w:pPr>
      <w:r w:rsidRPr="007D75C7">
        <w:rPr>
          <w:b w:val="0"/>
          <w:bCs w:val="0"/>
          <w:szCs w:val="20"/>
        </w:rPr>
        <w:t>CAB.0111.USA.25V</w:t>
      </w:r>
      <w:r w:rsidR="007D75C7" w:rsidRPr="007D75C7">
        <w:rPr>
          <w:b w:val="0"/>
          <w:bCs w:val="0"/>
          <w:szCs w:val="20"/>
        </w:rPr>
        <w:t>2.0</w:t>
      </w:r>
    </w:p>
    <w:p w14:paraId="66FBCF1B" w14:textId="63A77B87" w:rsidR="00666695" w:rsidRPr="00F6570B" w:rsidRDefault="00666695" w:rsidP="00635E97">
      <w:pPr>
        <w:spacing w:after="0" w:line="240" w:lineRule="auto"/>
        <w:rPr>
          <w:rFonts w:ascii="Arial" w:hAnsi="Arial" w:cs="Arial"/>
          <w:i/>
          <w:iCs/>
        </w:rPr>
      </w:pPr>
    </w:p>
    <w:sectPr w:rsidR="00666695" w:rsidRPr="00F6570B" w:rsidSect="00885038">
      <w:type w:val="continuous"/>
      <w:pgSz w:w="12240" w:h="15840"/>
      <w:pgMar w:top="1008" w:right="1008" w:bottom="720" w:left="1080" w:header="475" w:footer="475"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6625" w14:textId="77777777" w:rsidR="00BC6A67" w:rsidRDefault="00BC6A67" w:rsidP="002E68C9">
      <w:pPr>
        <w:spacing w:after="0" w:line="240" w:lineRule="auto"/>
      </w:pPr>
      <w:r>
        <w:separator/>
      </w:r>
    </w:p>
  </w:endnote>
  <w:endnote w:type="continuationSeparator" w:id="0">
    <w:p w14:paraId="22E766DB" w14:textId="77777777" w:rsidR="00BC6A67" w:rsidRDefault="00BC6A67" w:rsidP="002E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EAE9" w14:textId="287323C0" w:rsidR="00924809" w:rsidRPr="00BF6220" w:rsidRDefault="00BF6220" w:rsidP="00BF6220">
    <w:pPr>
      <w:pStyle w:val="Footer"/>
    </w:pPr>
    <w:r w:rsidRPr="00BF6220">
      <w:rPr>
        <w:rFonts w:ascii="Arial" w:hAnsi="Arial" w:cs="Arial"/>
        <w:sz w:val="16"/>
        <w:szCs w:val="16"/>
        <w:lang w:val="en-US" w:eastAsia="en-US"/>
      </w:rPr>
      <w:t>CABTREO is a trademark of Ortho Dermatologics or its affiliates.</w:t>
    </w:r>
    <w:r>
      <w:rPr>
        <w:rFonts w:ascii="Arial" w:hAnsi="Arial" w:cs="Arial"/>
        <w:sz w:val="16"/>
        <w:szCs w:val="16"/>
        <w:lang w:val="en-US" w:eastAsia="en-US"/>
      </w:rPr>
      <w:t xml:space="preserve"> </w:t>
    </w:r>
    <w:r>
      <w:rPr>
        <w:rFonts w:ascii="Arial" w:hAnsi="Arial" w:cs="Arial"/>
        <w:sz w:val="16"/>
        <w:szCs w:val="16"/>
        <w:lang w:val="en-US" w:eastAsia="en-US"/>
      </w:rPr>
      <w:br/>
    </w:r>
    <w:r w:rsidRPr="00BF6220">
      <w:rPr>
        <w:rFonts w:ascii="Arial" w:hAnsi="Arial" w:cs="Arial"/>
        <w:sz w:val="16"/>
        <w:szCs w:val="16"/>
        <w:lang w:val="en-US" w:eastAsia="en-US"/>
      </w:rPr>
      <w:t>© 2026 Ortho Dermatologics or its affiliates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64BC9" w14:textId="77777777" w:rsidR="00BC6A67" w:rsidRDefault="00BC6A67" w:rsidP="002E68C9">
      <w:pPr>
        <w:spacing w:after="0" w:line="240" w:lineRule="auto"/>
      </w:pPr>
      <w:r>
        <w:separator/>
      </w:r>
    </w:p>
  </w:footnote>
  <w:footnote w:type="continuationSeparator" w:id="0">
    <w:p w14:paraId="2F9E4B43" w14:textId="77777777" w:rsidR="00BC6A67" w:rsidRDefault="00BC6A67" w:rsidP="002E6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9D1"/>
    <w:multiLevelType w:val="hybridMultilevel"/>
    <w:tmpl w:val="BC86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908E3"/>
    <w:multiLevelType w:val="hybridMultilevel"/>
    <w:tmpl w:val="2960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65078"/>
    <w:multiLevelType w:val="multilevel"/>
    <w:tmpl w:val="9C9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E0660"/>
    <w:multiLevelType w:val="hybridMultilevel"/>
    <w:tmpl w:val="A602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73A01"/>
    <w:multiLevelType w:val="hybridMultilevel"/>
    <w:tmpl w:val="7622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76FCC"/>
    <w:multiLevelType w:val="hybridMultilevel"/>
    <w:tmpl w:val="18DC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86DFB"/>
    <w:multiLevelType w:val="hybridMultilevel"/>
    <w:tmpl w:val="F82A2C7E"/>
    <w:lvl w:ilvl="0" w:tplc="21C262CE">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F1D5B"/>
    <w:multiLevelType w:val="hybridMultilevel"/>
    <w:tmpl w:val="ACC6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23055"/>
    <w:multiLevelType w:val="hybridMultilevel"/>
    <w:tmpl w:val="F77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05F81"/>
    <w:multiLevelType w:val="hybridMultilevel"/>
    <w:tmpl w:val="202C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C60F8"/>
    <w:multiLevelType w:val="hybridMultilevel"/>
    <w:tmpl w:val="A858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482096"/>
    <w:multiLevelType w:val="hybridMultilevel"/>
    <w:tmpl w:val="6D5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5733F"/>
    <w:multiLevelType w:val="hybridMultilevel"/>
    <w:tmpl w:val="31481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3D1983"/>
    <w:multiLevelType w:val="hybridMultilevel"/>
    <w:tmpl w:val="CE8ED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61193"/>
    <w:multiLevelType w:val="hybridMultilevel"/>
    <w:tmpl w:val="B888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157B1D"/>
    <w:multiLevelType w:val="multilevel"/>
    <w:tmpl w:val="AD0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0F726B"/>
    <w:multiLevelType w:val="hybridMultilevel"/>
    <w:tmpl w:val="A7B0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94013B"/>
    <w:multiLevelType w:val="hybridMultilevel"/>
    <w:tmpl w:val="48C8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B611E2"/>
    <w:multiLevelType w:val="hybridMultilevel"/>
    <w:tmpl w:val="B43E4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F4C5A"/>
    <w:multiLevelType w:val="multilevel"/>
    <w:tmpl w:val="B6848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938083">
    <w:abstractNumId w:val="12"/>
  </w:num>
  <w:num w:numId="2" w16cid:durableId="1234704842">
    <w:abstractNumId w:val="5"/>
  </w:num>
  <w:num w:numId="3" w16cid:durableId="694117213">
    <w:abstractNumId w:val="6"/>
  </w:num>
  <w:num w:numId="4" w16cid:durableId="884827333">
    <w:abstractNumId w:val="3"/>
  </w:num>
  <w:num w:numId="5" w16cid:durableId="1192455917">
    <w:abstractNumId w:val="14"/>
  </w:num>
  <w:num w:numId="6" w16cid:durableId="2101678447">
    <w:abstractNumId w:val="0"/>
  </w:num>
  <w:num w:numId="7" w16cid:durableId="1497843081">
    <w:abstractNumId w:val="16"/>
  </w:num>
  <w:num w:numId="8" w16cid:durableId="1634292702">
    <w:abstractNumId w:val="9"/>
  </w:num>
  <w:num w:numId="9" w16cid:durableId="1059867964">
    <w:abstractNumId w:val="10"/>
  </w:num>
  <w:num w:numId="10" w16cid:durableId="1907061491">
    <w:abstractNumId w:val="8"/>
  </w:num>
  <w:num w:numId="11" w16cid:durableId="861364542">
    <w:abstractNumId w:val="13"/>
  </w:num>
  <w:num w:numId="12" w16cid:durableId="1233855710">
    <w:abstractNumId w:val="4"/>
  </w:num>
  <w:num w:numId="13" w16cid:durableId="1803300774">
    <w:abstractNumId w:val="19"/>
  </w:num>
  <w:num w:numId="14" w16cid:durableId="1693653864">
    <w:abstractNumId w:val="2"/>
  </w:num>
  <w:num w:numId="15" w16cid:durableId="782115819">
    <w:abstractNumId w:val="15"/>
  </w:num>
  <w:num w:numId="16" w16cid:durableId="123282246">
    <w:abstractNumId w:val="17"/>
  </w:num>
  <w:num w:numId="17" w16cid:durableId="1073506597">
    <w:abstractNumId w:val="18"/>
  </w:num>
  <w:num w:numId="18" w16cid:durableId="1226986359">
    <w:abstractNumId w:val="11"/>
  </w:num>
  <w:num w:numId="19" w16cid:durableId="1172641167">
    <w:abstractNumId w:val="7"/>
  </w:num>
  <w:num w:numId="20" w16cid:durableId="131676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13D"/>
    <w:rsid w:val="00000DE8"/>
    <w:rsid w:val="00003B59"/>
    <w:rsid w:val="00005938"/>
    <w:rsid w:val="0000634C"/>
    <w:rsid w:val="00007FD2"/>
    <w:rsid w:val="00010CD8"/>
    <w:rsid w:val="000148C6"/>
    <w:rsid w:val="00020D62"/>
    <w:rsid w:val="0002164A"/>
    <w:rsid w:val="00023E1A"/>
    <w:rsid w:val="00030EEA"/>
    <w:rsid w:val="00042442"/>
    <w:rsid w:val="000536D6"/>
    <w:rsid w:val="00055014"/>
    <w:rsid w:val="0006081F"/>
    <w:rsid w:val="00063B7D"/>
    <w:rsid w:val="00070EB3"/>
    <w:rsid w:val="000900F6"/>
    <w:rsid w:val="00093289"/>
    <w:rsid w:val="0009613A"/>
    <w:rsid w:val="000973A9"/>
    <w:rsid w:val="000A6B2F"/>
    <w:rsid w:val="000B1B5C"/>
    <w:rsid w:val="000C0CB0"/>
    <w:rsid w:val="000C0D8E"/>
    <w:rsid w:val="000C207B"/>
    <w:rsid w:val="000C368C"/>
    <w:rsid w:val="000C4A93"/>
    <w:rsid w:val="000D580B"/>
    <w:rsid w:val="000E2916"/>
    <w:rsid w:val="000E59D5"/>
    <w:rsid w:val="000E7DC5"/>
    <w:rsid w:val="000F3E7B"/>
    <w:rsid w:val="00103979"/>
    <w:rsid w:val="001048B3"/>
    <w:rsid w:val="00112504"/>
    <w:rsid w:val="0011743F"/>
    <w:rsid w:val="00120985"/>
    <w:rsid w:val="0012480A"/>
    <w:rsid w:val="001307DA"/>
    <w:rsid w:val="00131179"/>
    <w:rsid w:val="00131846"/>
    <w:rsid w:val="00132033"/>
    <w:rsid w:val="001344AC"/>
    <w:rsid w:val="00136ED3"/>
    <w:rsid w:val="001408CD"/>
    <w:rsid w:val="00146442"/>
    <w:rsid w:val="001471DF"/>
    <w:rsid w:val="001473D7"/>
    <w:rsid w:val="00150828"/>
    <w:rsid w:val="001606B2"/>
    <w:rsid w:val="00161CE0"/>
    <w:rsid w:val="001668C9"/>
    <w:rsid w:val="00170FA3"/>
    <w:rsid w:val="0017729E"/>
    <w:rsid w:val="00177344"/>
    <w:rsid w:val="001775AD"/>
    <w:rsid w:val="001802BC"/>
    <w:rsid w:val="00180828"/>
    <w:rsid w:val="00180A86"/>
    <w:rsid w:val="00183340"/>
    <w:rsid w:val="001A14AB"/>
    <w:rsid w:val="001A4349"/>
    <w:rsid w:val="001A76D6"/>
    <w:rsid w:val="001A76D8"/>
    <w:rsid w:val="001B2B60"/>
    <w:rsid w:val="001B55BF"/>
    <w:rsid w:val="001B7667"/>
    <w:rsid w:val="001C009D"/>
    <w:rsid w:val="001C162E"/>
    <w:rsid w:val="001C1A17"/>
    <w:rsid w:val="001C4C72"/>
    <w:rsid w:val="001C55A2"/>
    <w:rsid w:val="001C6620"/>
    <w:rsid w:val="001D512D"/>
    <w:rsid w:val="001D7581"/>
    <w:rsid w:val="001E0D21"/>
    <w:rsid w:val="001E2EF1"/>
    <w:rsid w:val="001E3974"/>
    <w:rsid w:val="001E6F77"/>
    <w:rsid w:val="001F137F"/>
    <w:rsid w:val="001F1F6D"/>
    <w:rsid w:val="001F3C36"/>
    <w:rsid w:val="001F4D7C"/>
    <w:rsid w:val="001F4DD1"/>
    <w:rsid w:val="0020124E"/>
    <w:rsid w:val="00202FF8"/>
    <w:rsid w:val="0020519E"/>
    <w:rsid w:val="00215EF3"/>
    <w:rsid w:val="00217DC2"/>
    <w:rsid w:val="00220981"/>
    <w:rsid w:val="00221008"/>
    <w:rsid w:val="00222115"/>
    <w:rsid w:val="00224034"/>
    <w:rsid w:val="00233461"/>
    <w:rsid w:val="002400C0"/>
    <w:rsid w:val="002415B4"/>
    <w:rsid w:val="002441E6"/>
    <w:rsid w:val="00250DDB"/>
    <w:rsid w:val="002548CB"/>
    <w:rsid w:val="0025592A"/>
    <w:rsid w:val="00256728"/>
    <w:rsid w:val="00260D89"/>
    <w:rsid w:val="002613E4"/>
    <w:rsid w:val="0026171C"/>
    <w:rsid w:val="002670ED"/>
    <w:rsid w:val="00270758"/>
    <w:rsid w:val="00272FD9"/>
    <w:rsid w:val="0027363D"/>
    <w:rsid w:val="0028307E"/>
    <w:rsid w:val="002830BF"/>
    <w:rsid w:val="00283658"/>
    <w:rsid w:val="002942E3"/>
    <w:rsid w:val="00297FD1"/>
    <w:rsid w:val="002A5931"/>
    <w:rsid w:val="002A71E6"/>
    <w:rsid w:val="002B2C25"/>
    <w:rsid w:val="002B2CA5"/>
    <w:rsid w:val="002B68A0"/>
    <w:rsid w:val="002B6D72"/>
    <w:rsid w:val="002C644D"/>
    <w:rsid w:val="002D08F3"/>
    <w:rsid w:val="002D4A19"/>
    <w:rsid w:val="002D7B44"/>
    <w:rsid w:val="002E68C9"/>
    <w:rsid w:val="002E7343"/>
    <w:rsid w:val="002F7801"/>
    <w:rsid w:val="00300181"/>
    <w:rsid w:val="00300CA4"/>
    <w:rsid w:val="00304848"/>
    <w:rsid w:val="003202FF"/>
    <w:rsid w:val="00321C58"/>
    <w:rsid w:val="00323087"/>
    <w:rsid w:val="00324F37"/>
    <w:rsid w:val="003266E1"/>
    <w:rsid w:val="00336963"/>
    <w:rsid w:val="00347EAF"/>
    <w:rsid w:val="003522F7"/>
    <w:rsid w:val="003525CF"/>
    <w:rsid w:val="00360724"/>
    <w:rsid w:val="00364E17"/>
    <w:rsid w:val="0037226E"/>
    <w:rsid w:val="003760EB"/>
    <w:rsid w:val="00381287"/>
    <w:rsid w:val="00381989"/>
    <w:rsid w:val="00386A9E"/>
    <w:rsid w:val="003874FC"/>
    <w:rsid w:val="00390E68"/>
    <w:rsid w:val="003A0342"/>
    <w:rsid w:val="003A3139"/>
    <w:rsid w:val="003A349A"/>
    <w:rsid w:val="003A3662"/>
    <w:rsid w:val="003A3DA8"/>
    <w:rsid w:val="003A4F6D"/>
    <w:rsid w:val="003B1D3D"/>
    <w:rsid w:val="003B4209"/>
    <w:rsid w:val="003B5898"/>
    <w:rsid w:val="003C1ECA"/>
    <w:rsid w:val="003C6740"/>
    <w:rsid w:val="003C7F44"/>
    <w:rsid w:val="003D0238"/>
    <w:rsid w:val="003D1332"/>
    <w:rsid w:val="003D2F84"/>
    <w:rsid w:val="003E268A"/>
    <w:rsid w:val="003E53B5"/>
    <w:rsid w:val="003E65DC"/>
    <w:rsid w:val="003E6FBB"/>
    <w:rsid w:val="003F0B7C"/>
    <w:rsid w:val="003F3832"/>
    <w:rsid w:val="003F4127"/>
    <w:rsid w:val="0040527E"/>
    <w:rsid w:val="00422CF6"/>
    <w:rsid w:val="00423C67"/>
    <w:rsid w:val="004249F2"/>
    <w:rsid w:val="004374BE"/>
    <w:rsid w:val="00446AC2"/>
    <w:rsid w:val="00450A31"/>
    <w:rsid w:val="00453533"/>
    <w:rsid w:val="00464BF8"/>
    <w:rsid w:val="00474F9F"/>
    <w:rsid w:val="00476DE2"/>
    <w:rsid w:val="00477C17"/>
    <w:rsid w:val="00480CC9"/>
    <w:rsid w:val="00483E13"/>
    <w:rsid w:val="004862FF"/>
    <w:rsid w:val="00487508"/>
    <w:rsid w:val="0049177C"/>
    <w:rsid w:val="004A2172"/>
    <w:rsid w:val="004B6485"/>
    <w:rsid w:val="004B74A4"/>
    <w:rsid w:val="004C76A8"/>
    <w:rsid w:val="004D0784"/>
    <w:rsid w:val="004D0D7C"/>
    <w:rsid w:val="004E0E1E"/>
    <w:rsid w:val="004E35C3"/>
    <w:rsid w:val="004E44BB"/>
    <w:rsid w:val="004E546C"/>
    <w:rsid w:val="004E7521"/>
    <w:rsid w:val="004E7DF4"/>
    <w:rsid w:val="00500275"/>
    <w:rsid w:val="005007EB"/>
    <w:rsid w:val="005033DF"/>
    <w:rsid w:val="005150B7"/>
    <w:rsid w:val="00517321"/>
    <w:rsid w:val="005229FD"/>
    <w:rsid w:val="005278E2"/>
    <w:rsid w:val="00533852"/>
    <w:rsid w:val="0053408D"/>
    <w:rsid w:val="00542EC1"/>
    <w:rsid w:val="005446CB"/>
    <w:rsid w:val="00544F1D"/>
    <w:rsid w:val="00545057"/>
    <w:rsid w:val="00547799"/>
    <w:rsid w:val="0055271F"/>
    <w:rsid w:val="00554D8C"/>
    <w:rsid w:val="00562D32"/>
    <w:rsid w:val="00571950"/>
    <w:rsid w:val="0057713D"/>
    <w:rsid w:val="00582478"/>
    <w:rsid w:val="005A1D05"/>
    <w:rsid w:val="005A3394"/>
    <w:rsid w:val="005B1751"/>
    <w:rsid w:val="005B325C"/>
    <w:rsid w:val="005B71D8"/>
    <w:rsid w:val="005C13DB"/>
    <w:rsid w:val="005C400A"/>
    <w:rsid w:val="005C418B"/>
    <w:rsid w:val="005C60FE"/>
    <w:rsid w:val="005D214E"/>
    <w:rsid w:val="005D7A96"/>
    <w:rsid w:val="005E012F"/>
    <w:rsid w:val="005E24EB"/>
    <w:rsid w:val="005E4CC6"/>
    <w:rsid w:val="005E673E"/>
    <w:rsid w:val="005E776F"/>
    <w:rsid w:val="005F2942"/>
    <w:rsid w:val="005F2E2E"/>
    <w:rsid w:val="005F6552"/>
    <w:rsid w:val="005F6DAB"/>
    <w:rsid w:val="0060356F"/>
    <w:rsid w:val="006129DC"/>
    <w:rsid w:val="00612CF1"/>
    <w:rsid w:val="00614F50"/>
    <w:rsid w:val="006219CB"/>
    <w:rsid w:val="006223C9"/>
    <w:rsid w:val="006241B0"/>
    <w:rsid w:val="00625097"/>
    <w:rsid w:val="0063173A"/>
    <w:rsid w:val="00635E97"/>
    <w:rsid w:val="00652024"/>
    <w:rsid w:val="00652980"/>
    <w:rsid w:val="0065717C"/>
    <w:rsid w:val="00666695"/>
    <w:rsid w:val="00667320"/>
    <w:rsid w:val="006676D6"/>
    <w:rsid w:val="006775D7"/>
    <w:rsid w:val="006A3B2A"/>
    <w:rsid w:val="006C3E97"/>
    <w:rsid w:val="006C4E91"/>
    <w:rsid w:val="006D2765"/>
    <w:rsid w:val="006E10FA"/>
    <w:rsid w:val="0071022F"/>
    <w:rsid w:val="00710983"/>
    <w:rsid w:val="00717C43"/>
    <w:rsid w:val="00723CF2"/>
    <w:rsid w:val="007301B7"/>
    <w:rsid w:val="00732E1A"/>
    <w:rsid w:val="00734DA9"/>
    <w:rsid w:val="00735147"/>
    <w:rsid w:val="00735E4F"/>
    <w:rsid w:val="007379AB"/>
    <w:rsid w:val="00740130"/>
    <w:rsid w:val="0074026B"/>
    <w:rsid w:val="00740925"/>
    <w:rsid w:val="007416C9"/>
    <w:rsid w:val="00741EAD"/>
    <w:rsid w:val="00743B75"/>
    <w:rsid w:val="007455AE"/>
    <w:rsid w:val="0075268A"/>
    <w:rsid w:val="0076350E"/>
    <w:rsid w:val="007928B8"/>
    <w:rsid w:val="0079354A"/>
    <w:rsid w:val="00793C53"/>
    <w:rsid w:val="007A5C0D"/>
    <w:rsid w:val="007A5C90"/>
    <w:rsid w:val="007B3A83"/>
    <w:rsid w:val="007C30E2"/>
    <w:rsid w:val="007C6CF1"/>
    <w:rsid w:val="007C74B3"/>
    <w:rsid w:val="007D0111"/>
    <w:rsid w:val="007D5A44"/>
    <w:rsid w:val="007D75C7"/>
    <w:rsid w:val="007E0981"/>
    <w:rsid w:val="007E5009"/>
    <w:rsid w:val="007F26C5"/>
    <w:rsid w:val="007F708B"/>
    <w:rsid w:val="008006FC"/>
    <w:rsid w:val="00803498"/>
    <w:rsid w:val="00813D3F"/>
    <w:rsid w:val="008141D5"/>
    <w:rsid w:val="00821412"/>
    <w:rsid w:val="008214E2"/>
    <w:rsid w:val="00822D17"/>
    <w:rsid w:val="00831BA3"/>
    <w:rsid w:val="00835C66"/>
    <w:rsid w:val="00843B8A"/>
    <w:rsid w:val="00847B60"/>
    <w:rsid w:val="008517AF"/>
    <w:rsid w:val="008526F4"/>
    <w:rsid w:val="008552BD"/>
    <w:rsid w:val="0086274A"/>
    <w:rsid w:val="00862894"/>
    <w:rsid w:val="008729CB"/>
    <w:rsid w:val="00872BF5"/>
    <w:rsid w:val="008775F6"/>
    <w:rsid w:val="00882A57"/>
    <w:rsid w:val="00884E71"/>
    <w:rsid w:val="00885038"/>
    <w:rsid w:val="00886436"/>
    <w:rsid w:val="008914D7"/>
    <w:rsid w:val="00892A61"/>
    <w:rsid w:val="00895213"/>
    <w:rsid w:val="00896534"/>
    <w:rsid w:val="0089797C"/>
    <w:rsid w:val="008A0A43"/>
    <w:rsid w:val="008B4BEB"/>
    <w:rsid w:val="008B4D7D"/>
    <w:rsid w:val="008B5FB9"/>
    <w:rsid w:val="008D049B"/>
    <w:rsid w:val="008D3081"/>
    <w:rsid w:val="008E6E86"/>
    <w:rsid w:val="008E7583"/>
    <w:rsid w:val="008F07FF"/>
    <w:rsid w:val="008F7957"/>
    <w:rsid w:val="00914F31"/>
    <w:rsid w:val="00917AC6"/>
    <w:rsid w:val="009224AC"/>
    <w:rsid w:val="00924809"/>
    <w:rsid w:val="0093452B"/>
    <w:rsid w:val="009409D4"/>
    <w:rsid w:val="00940F6B"/>
    <w:rsid w:val="00952A27"/>
    <w:rsid w:val="00957EC3"/>
    <w:rsid w:val="00973627"/>
    <w:rsid w:val="00977FAA"/>
    <w:rsid w:val="00981808"/>
    <w:rsid w:val="00981CA6"/>
    <w:rsid w:val="00994572"/>
    <w:rsid w:val="0099559D"/>
    <w:rsid w:val="009A23CC"/>
    <w:rsid w:val="009A4F28"/>
    <w:rsid w:val="009A7D6E"/>
    <w:rsid w:val="009A7F9B"/>
    <w:rsid w:val="009B41AA"/>
    <w:rsid w:val="009C6BF5"/>
    <w:rsid w:val="009C7BF0"/>
    <w:rsid w:val="009E13BB"/>
    <w:rsid w:val="009E6DA3"/>
    <w:rsid w:val="009F07BA"/>
    <w:rsid w:val="009F1C45"/>
    <w:rsid w:val="00A14CA8"/>
    <w:rsid w:val="00A154C9"/>
    <w:rsid w:val="00A21384"/>
    <w:rsid w:val="00A22D85"/>
    <w:rsid w:val="00A25A55"/>
    <w:rsid w:val="00A304F2"/>
    <w:rsid w:val="00A31FDE"/>
    <w:rsid w:val="00A414B6"/>
    <w:rsid w:val="00A41FBF"/>
    <w:rsid w:val="00A451B1"/>
    <w:rsid w:val="00A46E7C"/>
    <w:rsid w:val="00A5588C"/>
    <w:rsid w:val="00A5776A"/>
    <w:rsid w:val="00A66556"/>
    <w:rsid w:val="00A703D6"/>
    <w:rsid w:val="00A70B78"/>
    <w:rsid w:val="00A713EB"/>
    <w:rsid w:val="00A736A2"/>
    <w:rsid w:val="00A75082"/>
    <w:rsid w:val="00A76A58"/>
    <w:rsid w:val="00A76B10"/>
    <w:rsid w:val="00A85A6F"/>
    <w:rsid w:val="00AA0CE2"/>
    <w:rsid w:val="00AA5C48"/>
    <w:rsid w:val="00AA6034"/>
    <w:rsid w:val="00AA7298"/>
    <w:rsid w:val="00AB0174"/>
    <w:rsid w:val="00AB77A8"/>
    <w:rsid w:val="00AC33B2"/>
    <w:rsid w:val="00AC348A"/>
    <w:rsid w:val="00AC47F9"/>
    <w:rsid w:val="00AC4A52"/>
    <w:rsid w:val="00AD4F43"/>
    <w:rsid w:val="00AD527F"/>
    <w:rsid w:val="00AF0B3F"/>
    <w:rsid w:val="00AF2495"/>
    <w:rsid w:val="00AF2E08"/>
    <w:rsid w:val="00AF37B0"/>
    <w:rsid w:val="00AF49DF"/>
    <w:rsid w:val="00AF5050"/>
    <w:rsid w:val="00AF64CA"/>
    <w:rsid w:val="00AF665F"/>
    <w:rsid w:val="00B07ABE"/>
    <w:rsid w:val="00B07B2F"/>
    <w:rsid w:val="00B11299"/>
    <w:rsid w:val="00B14569"/>
    <w:rsid w:val="00B14801"/>
    <w:rsid w:val="00B21045"/>
    <w:rsid w:val="00B3371F"/>
    <w:rsid w:val="00B548B1"/>
    <w:rsid w:val="00B56B2B"/>
    <w:rsid w:val="00B61D95"/>
    <w:rsid w:val="00B62344"/>
    <w:rsid w:val="00B667D0"/>
    <w:rsid w:val="00B732DC"/>
    <w:rsid w:val="00B7460E"/>
    <w:rsid w:val="00B85B70"/>
    <w:rsid w:val="00B9145F"/>
    <w:rsid w:val="00B95675"/>
    <w:rsid w:val="00B958A1"/>
    <w:rsid w:val="00BB29C5"/>
    <w:rsid w:val="00BB40C1"/>
    <w:rsid w:val="00BB7E52"/>
    <w:rsid w:val="00BC133B"/>
    <w:rsid w:val="00BC2C91"/>
    <w:rsid w:val="00BC3DE9"/>
    <w:rsid w:val="00BC481B"/>
    <w:rsid w:val="00BC541F"/>
    <w:rsid w:val="00BC6A67"/>
    <w:rsid w:val="00BD51FA"/>
    <w:rsid w:val="00BE14BD"/>
    <w:rsid w:val="00BE1790"/>
    <w:rsid w:val="00BE20B9"/>
    <w:rsid w:val="00BE6653"/>
    <w:rsid w:val="00BF0283"/>
    <w:rsid w:val="00BF6220"/>
    <w:rsid w:val="00C03FE9"/>
    <w:rsid w:val="00C06B37"/>
    <w:rsid w:val="00C2025E"/>
    <w:rsid w:val="00C20FD9"/>
    <w:rsid w:val="00C2623B"/>
    <w:rsid w:val="00C40139"/>
    <w:rsid w:val="00C42BBA"/>
    <w:rsid w:val="00C4315E"/>
    <w:rsid w:val="00C44AD2"/>
    <w:rsid w:val="00C50D9D"/>
    <w:rsid w:val="00C561CF"/>
    <w:rsid w:val="00C730B9"/>
    <w:rsid w:val="00C80976"/>
    <w:rsid w:val="00C810C0"/>
    <w:rsid w:val="00C810F3"/>
    <w:rsid w:val="00C927C3"/>
    <w:rsid w:val="00C941A9"/>
    <w:rsid w:val="00CA1AE1"/>
    <w:rsid w:val="00CA1B32"/>
    <w:rsid w:val="00CA240B"/>
    <w:rsid w:val="00CA56DB"/>
    <w:rsid w:val="00CB7E81"/>
    <w:rsid w:val="00CC2829"/>
    <w:rsid w:val="00CC3213"/>
    <w:rsid w:val="00CC5D83"/>
    <w:rsid w:val="00CD700B"/>
    <w:rsid w:val="00CE2017"/>
    <w:rsid w:val="00CE2D13"/>
    <w:rsid w:val="00CE3B77"/>
    <w:rsid w:val="00CE4075"/>
    <w:rsid w:val="00CE456A"/>
    <w:rsid w:val="00CE6EB8"/>
    <w:rsid w:val="00CF05E5"/>
    <w:rsid w:val="00CF4E5F"/>
    <w:rsid w:val="00CF5295"/>
    <w:rsid w:val="00D023D5"/>
    <w:rsid w:val="00D05C24"/>
    <w:rsid w:val="00D0604A"/>
    <w:rsid w:val="00D10C08"/>
    <w:rsid w:val="00D10DDF"/>
    <w:rsid w:val="00D20500"/>
    <w:rsid w:val="00D27217"/>
    <w:rsid w:val="00D300E1"/>
    <w:rsid w:val="00D31245"/>
    <w:rsid w:val="00D31702"/>
    <w:rsid w:val="00D326F8"/>
    <w:rsid w:val="00D35CC6"/>
    <w:rsid w:val="00D50988"/>
    <w:rsid w:val="00D54D86"/>
    <w:rsid w:val="00D656EF"/>
    <w:rsid w:val="00D7047B"/>
    <w:rsid w:val="00D71C89"/>
    <w:rsid w:val="00D8281A"/>
    <w:rsid w:val="00D82DE3"/>
    <w:rsid w:val="00D868F1"/>
    <w:rsid w:val="00D96BB4"/>
    <w:rsid w:val="00DA77BF"/>
    <w:rsid w:val="00DB17CA"/>
    <w:rsid w:val="00DB5106"/>
    <w:rsid w:val="00DC00CC"/>
    <w:rsid w:val="00DC1F5F"/>
    <w:rsid w:val="00DC4975"/>
    <w:rsid w:val="00DC4BD2"/>
    <w:rsid w:val="00DD23BD"/>
    <w:rsid w:val="00DD6BE4"/>
    <w:rsid w:val="00DD7C6D"/>
    <w:rsid w:val="00DE30D7"/>
    <w:rsid w:val="00DE5754"/>
    <w:rsid w:val="00DF3426"/>
    <w:rsid w:val="00DF60D8"/>
    <w:rsid w:val="00E00E20"/>
    <w:rsid w:val="00E02500"/>
    <w:rsid w:val="00E038A9"/>
    <w:rsid w:val="00E0390F"/>
    <w:rsid w:val="00E13E2E"/>
    <w:rsid w:val="00E14371"/>
    <w:rsid w:val="00E15DAC"/>
    <w:rsid w:val="00E2015A"/>
    <w:rsid w:val="00E2284A"/>
    <w:rsid w:val="00E23B47"/>
    <w:rsid w:val="00E26852"/>
    <w:rsid w:val="00E26CF0"/>
    <w:rsid w:val="00E30F8F"/>
    <w:rsid w:val="00E3192E"/>
    <w:rsid w:val="00E32529"/>
    <w:rsid w:val="00E330F3"/>
    <w:rsid w:val="00E33C40"/>
    <w:rsid w:val="00E365EB"/>
    <w:rsid w:val="00E37198"/>
    <w:rsid w:val="00E3772C"/>
    <w:rsid w:val="00E46426"/>
    <w:rsid w:val="00E46998"/>
    <w:rsid w:val="00E70AFA"/>
    <w:rsid w:val="00E77B4A"/>
    <w:rsid w:val="00E81F72"/>
    <w:rsid w:val="00E823F4"/>
    <w:rsid w:val="00E8442D"/>
    <w:rsid w:val="00E86EBE"/>
    <w:rsid w:val="00E9172A"/>
    <w:rsid w:val="00E92613"/>
    <w:rsid w:val="00E945F4"/>
    <w:rsid w:val="00EA04B5"/>
    <w:rsid w:val="00EA299E"/>
    <w:rsid w:val="00EA3E55"/>
    <w:rsid w:val="00EB526D"/>
    <w:rsid w:val="00EC4126"/>
    <w:rsid w:val="00EC72EC"/>
    <w:rsid w:val="00EC7973"/>
    <w:rsid w:val="00ED2219"/>
    <w:rsid w:val="00ED282B"/>
    <w:rsid w:val="00ED4887"/>
    <w:rsid w:val="00ED75A9"/>
    <w:rsid w:val="00EE2284"/>
    <w:rsid w:val="00EF3128"/>
    <w:rsid w:val="00EF5502"/>
    <w:rsid w:val="00F046B5"/>
    <w:rsid w:val="00F1104C"/>
    <w:rsid w:val="00F12D91"/>
    <w:rsid w:val="00F2731F"/>
    <w:rsid w:val="00F278F7"/>
    <w:rsid w:val="00F41595"/>
    <w:rsid w:val="00F43D82"/>
    <w:rsid w:val="00F44FBE"/>
    <w:rsid w:val="00F46C2F"/>
    <w:rsid w:val="00F50AC5"/>
    <w:rsid w:val="00F55E02"/>
    <w:rsid w:val="00F56091"/>
    <w:rsid w:val="00F6358A"/>
    <w:rsid w:val="00F6570B"/>
    <w:rsid w:val="00F65C2C"/>
    <w:rsid w:val="00F665A2"/>
    <w:rsid w:val="00F71BE2"/>
    <w:rsid w:val="00F737AA"/>
    <w:rsid w:val="00F77993"/>
    <w:rsid w:val="00F8546E"/>
    <w:rsid w:val="00FA268C"/>
    <w:rsid w:val="00FB19D3"/>
    <w:rsid w:val="00FB1E13"/>
    <w:rsid w:val="00FB2708"/>
    <w:rsid w:val="00FB40F1"/>
    <w:rsid w:val="00FC05AF"/>
    <w:rsid w:val="00FC16B7"/>
    <w:rsid w:val="00FC1D9F"/>
    <w:rsid w:val="00FC5154"/>
    <w:rsid w:val="00FD2AD8"/>
    <w:rsid w:val="00FD4188"/>
    <w:rsid w:val="00FD5195"/>
    <w:rsid w:val="00FD6B74"/>
    <w:rsid w:val="00FD7902"/>
    <w:rsid w:val="00FE3B81"/>
    <w:rsid w:val="00FE3C7D"/>
    <w:rsid w:val="00FE74C7"/>
    <w:rsid w:val="00FF2C0B"/>
    <w:rsid w:val="00FF479A"/>
    <w:rsid w:val="00FF4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8FDA63"/>
  <w15:chartTrackingRefBased/>
  <w15:docId w15:val="{EED12E98-A45E-4748-8292-D895476E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8C9"/>
    <w:pPr>
      <w:tabs>
        <w:tab w:val="center" w:pos="4680"/>
        <w:tab w:val="right" w:pos="9360"/>
      </w:tabs>
    </w:pPr>
    <w:rPr>
      <w:lang w:val="x-none" w:eastAsia="x-none"/>
    </w:rPr>
  </w:style>
  <w:style w:type="character" w:customStyle="1" w:styleId="HeaderChar">
    <w:name w:val="Header Char"/>
    <w:link w:val="Header"/>
    <w:uiPriority w:val="99"/>
    <w:rsid w:val="002E68C9"/>
    <w:rPr>
      <w:sz w:val="22"/>
      <w:szCs w:val="22"/>
    </w:rPr>
  </w:style>
  <w:style w:type="paragraph" w:styleId="Footer">
    <w:name w:val="footer"/>
    <w:basedOn w:val="Normal"/>
    <w:link w:val="FooterChar"/>
    <w:uiPriority w:val="99"/>
    <w:unhideWhenUsed/>
    <w:rsid w:val="002E68C9"/>
    <w:pPr>
      <w:tabs>
        <w:tab w:val="center" w:pos="4680"/>
        <w:tab w:val="right" w:pos="9360"/>
      </w:tabs>
    </w:pPr>
    <w:rPr>
      <w:lang w:val="x-none" w:eastAsia="x-none"/>
    </w:rPr>
  </w:style>
  <w:style w:type="character" w:customStyle="1" w:styleId="FooterChar">
    <w:name w:val="Footer Char"/>
    <w:link w:val="Footer"/>
    <w:uiPriority w:val="99"/>
    <w:rsid w:val="002E68C9"/>
    <w:rPr>
      <w:sz w:val="22"/>
      <w:szCs w:val="22"/>
    </w:rPr>
  </w:style>
  <w:style w:type="paragraph" w:styleId="ListParagraph">
    <w:name w:val="List Paragraph"/>
    <w:basedOn w:val="Normal"/>
    <w:uiPriority w:val="34"/>
    <w:qFormat/>
    <w:rsid w:val="007E0981"/>
    <w:pPr>
      <w:ind w:left="720"/>
      <w:contextualSpacing/>
    </w:pPr>
    <w:rPr>
      <w:rFonts w:eastAsia="Calibri"/>
    </w:rPr>
  </w:style>
  <w:style w:type="table" w:styleId="TableGrid">
    <w:name w:val="Table Grid"/>
    <w:basedOn w:val="TableNormal"/>
    <w:uiPriority w:val="59"/>
    <w:rsid w:val="007E098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TEXT">
    <w:name w:val="BOLD TEXT"/>
    <w:basedOn w:val="TEXT"/>
    <w:link w:val="BOLDTEXTChar"/>
    <w:qFormat/>
    <w:rsid w:val="009A7D6E"/>
    <w:pPr>
      <w:tabs>
        <w:tab w:val="left" w:pos="1040"/>
      </w:tabs>
      <w:suppressAutoHyphens/>
      <w:textAlignment w:val="center"/>
    </w:pPr>
    <w:rPr>
      <w:rFonts w:eastAsia="Calibri"/>
      <w:b/>
      <w:bCs/>
      <w:color w:val="000000"/>
      <w:szCs w:val="18"/>
    </w:rPr>
  </w:style>
  <w:style w:type="character" w:customStyle="1" w:styleId="BOLDTEXTChar">
    <w:name w:val="BOLD TEXT Char"/>
    <w:link w:val="BOLDTEXT"/>
    <w:rsid w:val="009A7D6E"/>
    <w:rPr>
      <w:rFonts w:ascii="Arial" w:eastAsia="Calibri" w:hAnsi="Arial" w:cs="Arial"/>
      <w:b/>
      <w:bCs/>
      <w:color w:val="000000"/>
      <w:szCs w:val="18"/>
    </w:rPr>
  </w:style>
  <w:style w:type="paragraph" w:customStyle="1" w:styleId="TEXT">
    <w:name w:val="TEXT"/>
    <w:basedOn w:val="Normal"/>
    <w:link w:val="TEXTChar"/>
    <w:qFormat/>
    <w:rsid w:val="00BC481B"/>
    <w:pPr>
      <w:widowControl w:val="0"/>
      <w:autoSpaceDE w:val="0"/>
      <w:autoSpaceDN w:val="0"/>
      <w:adjustRightInd w:val="0"/>
      <w:spacing w:before="120" w:after="0" w:line="240" w:lineRule="auto"/>
      <w:ind w:right="-245"/>
    </w:pPr>
    <w:rPr>
      <w:rFonts w:ascii="Arial" w:hAnsi="Arial" w:cs="Arial"/>
      <w:sz w:val="20"/>
      <w:szCs w:val="20"/>
    </w:rPr>
  </w:style>
  <w:style w:type="paragraph" w:customStyle="1" w:styleId="BOLDBULLETS">
    <w:name w:val="BOLD BULLETS"/>
    <w:basedOn w:val="Normal"/>
    <w:link w:val="BOLDBULLETSChar"/>
    <w:qFormat/>
    <w:rsid w:val="009A7D6E"/>
    <w:pPr>
      <w:widowControl w:val="0"/>
      <w:autoSpaceDE w:val="0"/>
      <w:autoSpaceDN w:val="0"/>
      <w:adjustRightInd w:val="0"/>
      <w:spacing w:before="60" w:after="0" w:line="240" w:lineRule="auto"/>
      <w:ind w:left="360" w:right="-245" w:hanging="360"/>
      <w:contextualSpacing/>
    </w:pPr>
    <w:rPr>
      <w:rFonts w:ascii="Arial" w:hAnsi="Arial" w:cs="Arial"/>
      <w:b/>
      <w:sz w:val="20"/>
      <w:szCs w:val="20"/>
    </w:rPr>
  </w:style>
  <w:style w:type="character" w:customStyle="1" w:styleId="TEXTChar">
    <w:name w:val="TEXT Char"/>
    <w:basedOn w:val="DefaultParagraphFont"/>
    <w:link w:val="TEXT"/>
    <w:rsid w:val="00BC481B"/>
    <w:rPr>
      <w:rFonts w:ascii="Arial" w:hAnsi="Arial" w:cs="Arial"/>
    </w:rPr>
  </w:style>
  <w:style w:type="character" w:customStyle="1" w:styleId="BOLDBULLETSChar">
    <w:name w:val="BOLD BULLETS Char"/>
    <w:basedOn w:val="DefaultParagraphFont"/>
    <w:link w:val="BOLDBULLETS"/>
    <w:rsid w:val="009A7D6E"/>
    <w:rPr>
      <w:rFonts w:ascii="Arial" w:hAnsi="Arial" w:cs="Arial"/>
      <w:b/>
    </w:rPr>
  </w:style>
  <w:style w:type="character" w:styleId="CommentReference">
    <w:name w:val="annotation reference"/>
    <w:basedOn w:val="DefaultParagraphFont"/>
    <w:uiPriority w:val="99"/>
    <w:semiHidden/>
    <w:unhideWhenUsed/>
    <w:rsid w:val="00A31FDE"/>
    <w:rPr>
      <w:sz w:val="16"/>
      <w:szCs w:val="16"/>
    </w:rPr>
  </w:style>
  <w:style w:type="paragraph" w:styleId="CommentText">
    <w:name w:val="annotation text"/>
    <w:basedOn w:val="Normal"/>
    <w:link w:val="CommentTextChar"/>
    <w:uiPriority w:val="99"/>
    <w:unhideWhenUsed/>
    <w:rsid w:val="00A31FDE"/>
    <w:pPr>
      <w:spacing w:line="240" w:lineRule="auto"/>
    </w:pPr>
    <w:rPr>
      <w:sz w:val="20"/>
      <w:szCs w:val="20"/>
    </w:rPr>
  </w:style>
  <w:style w:type="character" w:customStyle="1" w:styleId="CommentTextChar">
    <w:name w:val="Comment Text Char"/>
    <w:basedOn w:val="DefaultParagraphFont"/>
    <w:link w:val="CommentText"/>
    <w:uiPriority w:val="99"/>
    <w:rsid w:val="00A31FDE"/>
  </w:style>
  <w:style w:type="paragraph" w:styleId="CommentSubject">
    <w:name w:val="annotation subject"/>
    <w:basedOn w:val="CommentText"/>
    <w:next w:val="CommentText"/>
    <w:link w:val="CommentSubjectChar"/>
    <w:uiPriority w:val="99"/>
    <w:semiHidden/>
    <w:unhideWhenUsed/>
    <w:rsid w:val="00A31FDE"/>
    <w:rPr>
      <w:b/>
      <w:bCs/>
    </w:rPr>
  </w:style>
  <w:style w:type="character" w:customStyle="1" w:styleId="CommentSubjectChar">
    <w:name w:val="Comment Subject Char"/>
    <w:basedOn w:val="CommentTextChar"/>
    <w:link w:val="CommentSubject"/>
    <w:uiPriority w:val="99"/>
    <w:semiHidden/>
    <w:rsid w:val="00A31FDE"/>
    <w:rPr>
      <w:b/>
      <w:bCs/>
    </w:rPr>
  </w:style>
  <w:style w:type="character" w:styleId="Hyperlink">
    <w:name w:val="Hyperlink"/>
    <w:basedOn w:val="DefaultParagraphFont"/>
    <w:uiPriority w:val="99"/>
    <w:unhideWhenUsed/>
    <w:rsid w:val="0011743F"/>
    <w:rPr>
      <w:color w:val="0563C1" w:themeColor="hyperlink"/>
      <w:u w:val="single"/>
    </w:rPr>
  </w:style>
  <w:style w:type="character" w:styleId="UnresolvedMention">
    <w:name w:val="Unresolved Mention"/>
    <w:basedOn w:val="DefaultParagraphFont"/>
    <w:uiPriority w:val="99"/>
    <w:semiHidden/>
    <w:unhideWhenUsed/>
    <w:rsid w:val="0011743F"/>
    <w:rPr>
      <w:color w:val="605E5C"/>
      <w:shd w:val="clear" w:color="auto" w:fill="E1DFDD"/>
    </w:rPr>
  </w:style>
  <w:style w:type="paragraph" w:styleId="Revision">
    <w:name w:val="Revision"/>
    <w:hidden/>
    <w:uiPriority w:val="99"/>
    <w:semiHidden/>
    <w:rsid w:val="001668C9"/>
    <w:rPr>
      <w:sz w:val="22"/>
      <w:szCs w:val="22"/>
    </w:rPr>
  </w:style>
  <w:style w:type="paragraph" w:styleId="NoSpacing">
    <w:name w:val="No Spacing"/>
    <w:uiPriority w:val="1"/>
    <w:qFormat/>
    <w:rsid w:val="0002164A"/>
    <w:rPr>
      <w:sz w:val="22"/>
      <w:szCs w:val="22"/>
    </w:rPr>
  </w:style>
  <w:style w:type="character" w:styleId="FollowedHyperlink">
    <w:name w:val="FollowedHyperlink"/>
    <w:basedOn w:val="DefaultParagraphFont"/>
    <w:uiPriority w:val="99"/>
    <w:semiHidden/>
    <w:unhideWhenUsed/>
    <w:rsid w:val="00205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67430">
      <w:bodyDiv w:val="1"/>
      <w:marLeft w:val="0"/>
      <w:marRight w:val="0"/>
      <w:marTop w:val="0"/>
      <w:marBottom w:val="0"/>
      <w:divBdr>
        <w:top w:val="none" w:sz="0" w:space="0" w:color="auto"/>
        <w:left w:val="none" w:sz="0" w:space="0" w:color="auto"/>
        <w:bottom w:val="none" w:sz="0" w:space="0" w:color="auto"/>
        <w:right w:val="none" w:sz="0" w:space="0" w:color="auto"/>
      </w:divBdr>
    </w:div>
    <w:div w:id="1334458455">
      <w:bodyDiv w:val="1"/>
      <w:marLeft w:val="0"/>
      <w:marRight w:val="0"/>
      <w:marTop w:val="0"/>
      <w:marBottom w:val="0"/>
      <w:divBdr>
        <w:top w:val="none" w:sz="0" w:space="0" w:color="auto"/>
        <w:left w:val="none" w:sz="0" w:space="0" w:color="auto"/>
        <w:bottom w:val="none" w:sz="0" w:space="0" w:color="auto"/>
        <w:right w:val="none" w:sz="0" w:space="0" w:color="auto"/>
      </w:divBdr>
    </w:div>
    <w:div w:id="204158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btreo.com/globalassets/bhc/pi/cabtreo-pi.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btreo.com/globalassets/bhc/pi/cabtreo-pi.pdf"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f0de355-8ebc-4323-87eb-88c393f7bc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E24CE97D24546A383BD7B5D2DD163" ma:contentTypeVersion="18" ma:contentTypeDescription="Create a new document." ma:contentTypeScope="" ma:versionID="c38559846b0d0e1c1d6ba01f38925cfa">
  <xsd:schema xmlns:xsd="http://www.w3.org/2001/XMLSchema" xmlns:xs="http://www.w3.org/2001/XMLSchema" xmlns:p="http://schemas.microsoft.com/office/2006/metadata/properties" xmlns:ns1="http://schemas.microsoft.com/sharepoint/v3" xmlns:ns3="1f0de355-8ebc-4323-87eb-88c393f7bcd6" xmlns:ns4="3bc238ac-15d3-4fe1-ac17-e3042e93c834" targetNamespace="http://schemas.microsoft.com/office/2006/metadata/properties" ma:root="true" ma:fieldsID="9b1d63744a76662a03cb9784deba3017" ns1:_="" ns3:_="" ns4:_="">
    <xsd:import namespace="http://schemas.microsoft.com/sharepoint/v3"/>
    <xsd:import namespace="1f0de355-8ebc-4323-87eb-88c393f7bcd6"/>
    <xsd:import namespace="3bc238ac-15d3-4fe1-ac17-e3042e93c8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MediaServiceSearchProperties" minOccurs="0"/>
                <xsd:element ref="ns3:_activity"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0de355-8ebc-4323-87eb-88c393f7b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238ac-15d3-4fe1-ac17-e3042e93c83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EFC85-DACA-4AD7-B42E-A9B2EFE1E572}">
  <ds:schemaRefs>
    <ds:schemaRef ds:uri="http://schemas.microsoft.com/office/2006/metadata/properties"/>
    <ds:schemaRef ds:uri="http://schemas.microsoft.com/office/infopath/2007/PartnerControls"/>
    <ds:schemaRef ds:uri="http://schemas.microsoft.com/sharepoint/v3"/>
    <ds:schemaRef ds:uri="1f0de355-8ebc-4323-87eb-88c393f7bcd6"/>
  </ds:schemaRefs>
</ds:datastoreItem>
</file>

<file path=customXml/itemProps2.xml><?xml version="1.0" encoding="utf-8"?>
<ds:datastoreItem xmlns:ds="http://schemas.openxmlformats.org/officeDocument/2006/customXml" ds:itemID="{03FCBDB6-495D-4902-9A51-CB5255501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0de355-8ebc-4323-87eb-88c393f7bcd6"/>
    <ds:schemaRef ds:uri="3bc238ac-15d3-4fe1-ac17-e3042e93c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75DF26-72AB-4FBC-AD1E-4E6E01920236}">
  <ds:schemaRefs>
    <ds:schemaRef ds:uri="http://schemas.microsoft.com/sharepoint/v3/contenttype/forms"/>
  </ds:schemaRefs>
</ds:datastoreItem>
</file>

<file path=docMetadata/LabelInfo.xml><?xml version="1.0" encoding="utf-8"?>
<clbl:labelList xmlns:clbl="http://schemas.microsoft.com/office/2020/mipLabelMetadata">
  <clbl:label id="{a72dda32-ee80-4da8-a3ac-ec0e9e41a50a}" enabled="0" method="" siteId="{a72dda32-ee80-4da8-a3ac-ec0e9e41a50a}" removed="1"/>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Guenin, Eric</dc:creator>
  <cp:keywords/>
  <dc:description/>
  <cp:lastModifiedBy>Theresa Ross</cp:lastModifiedBy>
  <cp:revision>18</cp:revision>
  <dcterms:created xsi:type="dcterms:W3CDTF">2026-07-21T20:20:00Z</dcterms:created>
  <dcterms:modified xsi:type="dcterms:W3CDTF">2026-08-27T21:34:00Z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0x010100724E24CE97D24546A383BD7B5D2DD163</vt:lpwstr>
  </property>
  <property fmtid="{D5CDD505-2E9C-101B-9397-08002B2CF9AE}" pid="3" name="GrammarlyDocumentId">
    <vt:lpwstr>7f69080d-09e6-48af-b6b3-b4af1550335c</vt:lpwstr>
  </property>
</Properties>
</file>